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502C" w14:textId="7552F4DC" w:rsidR="00BF1B79" w:rsidRPr="00EF5252" w:rsidRDefault="0080725B" w:rsidP="00175E10">
      <w:pPr>
        <w:pStyle w:val="Normal1"/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VENTILATION, TEMPER</w:t>
      </w:r>
      <w:r w:rsidR="00175E10"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TURE &amp; NATURAL LIGHT</w:t>
      </w:r>
      <w:r w:rsidR="00110A01">
        <w:rPr>
          <w:rFonts w:ascii="Calibri" w:eastAsia="Calibri" w:hAnsi="Calibri" w:cs="Calibri"/>
          <w:sz w:val="32"/>
          <w:szCs w:val="32"/>
        </w:rPr>
        <w:br/>
      </w:r>
    </w:p>
    <w:p w14:paraId="2F59A08C" w14:textId="77777777" w:rsidR="00BF1B79" w:rsidRPr="0080725B" w:rsidRDefault="0080725B" w:rsidP="00EF5252">
      <w:pPr>
        <w:pStyle w:val="Normal1"/>
        <w:shd w:val="clear" w:color="auto" w:fill="D9D9D9" w:themeFill="background1" w:themeFillShade="D9"/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POLICY STATEMENT</w:t>
      </w:r>
    </w:p>
    <w:p w14:paraId="1C70D861" w14:textId="46420C73" w:rsidR="00BF1B79" w:rsidRDefault="0080725B" w:rsidP="00EF5252">
      <w:pPr>
        <w:pStyle w:val="Normal1"/>
        <w:shd w:val="clear" w:color="auto" w:fill="D9D9D9" w:themeFill="background1" w:themeFillShade="D9"/>
        <w:spacing w:after="120" w:line="276" w:lineRule="auto"/>
        <w:rPr>
          <w:rFonts w:ascii="Calibri" w:eastAsia="Calibri" w:hAnsi="Calibri" w:cs="Calibri"/>
          <w:sz w:val="22"/>
          <w:szCs w:val="22"/>
          <w:lang w:val="en-AU"/>
        </w:rPr>
      </w:pPr>
      <w:r w:rsidRPr="62974E91">
        <w:rPr>
          <w:rFonts w:ascii="Calibri" w:eastAsia="Calibri" w:hAnsi="Calibri" w:cs="Calibri"/>
          <w:sz w:val="22"/>
          <w:szCs w:val="22"/>
          <w:lang w:val="en-AU"/>
        </w:rPr>
        <w:t xml:space="preserve">Our Service provides an environment that ensures the safety, health and wellbeing of children </w:t>
      </w:r>
      <w:proofErr w:type="gramStart"/>
      <w:r w:rsidRPr="62974E91">
        <w:rPr>
          <w:rFonts w:ascii="Calibri" w:eastAsia="Calibri" w:hAnsi="Calibri" w:cs="Calibri"/>
          <w:sz w:val="22"/>
          <w:szCs w:val="22"/>
          <w:lang w:val="en-AU"/>
        </w:rPr>
        <w:t>at all times</w:t>
      </w:r>
      <w:proofErr w:type="gramEnd"/>
      <w:r w:rsidRPr="62974E91">
        <w:rPr>
          <w:rFonts w:ascii="Calibri" w:eastAsia="Calibri" w:hAnsi="Calibri" w:cs="Calibri"/>
          <w:sz w:val="22"/>
          <w:szCs w:val="22"/>
          <w:lang w:val="en-AU"/>
        </w:rPr>
        <w:t>. We will provide a quality environment by ensuring adequate provision and maintenance of ventilation, temperature and natural light.</w:t>
      </w:r>
    </w:p>
    <w:p w14:paraId="4BC179BF" w14:textId="77777777" w:rsidR="00BF1B79" w:rsidRDefault="00BF1B79" w:rsidP="00175E10">
      <w:pPr>
        <w:pStyle w:val="Normal1"/>
        <w:spacing w:after="120"/>
        <w:rPr>
          <w:rFonts w:ascii="Calibri" w:eastAsia="Calibri" w:hAnsi="Calibri" w:cs="Calibri"/>
          <w:sz w:val="22"/>
          <w:szCs w:val="22"/>
        </w:rPr>
      </w:pPr>
    </w:p>
    <w:p w14:paraId="3962185B" w14:textId="4B555E90" w:rsidR="00BF1B79" w:rsidRDefault="0080725B" w:rsidP="00175E10">
      <w:pPr>
        <w:pStyle w:val="Normal1"/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CONSIDERATIONS</w:t>
      </w:r>
    </w:p>
    <w:tbl>
      <w:tblPr>
        <w:tblStyle w:val="a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5441"/>
      </w:tblGrid>
      <w:tr w:rsidR="00BF1B79" w14:paraId="3A122829" w14:textId="77777777" w:rsidTr="00EF5252">
        <w:tc>
          <w:tcPr>
            <w:tcW w:w="5440" w:type="dxa"/>
          </w:tcPr>
          <w:p w14:paraId="034D2817" w14:textId="77777777" w:rsidR="00BF1B79" w:rsidRDefault="0080725B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Education and Care Services National Regulations</w:t>
            </w:r>
          </w:p>
        </w:tc>
        <w:tc>
          <w:tcPr>
            <w:tcW w:w="5441" w:type="dxa"/>
          </w:tcPr>
          <w:p w14:paraId="4207A357" w14:textId="77777777" w:rsidR="00BF1B79" w:rsidRPr="0080725B" w:rsidRDefault="0080725B">
            <w:pPr>
              <w:pStyle w:val="Normal1"/>
              <w:rPr>
                <w:rFonts w:ascii="Arial" w:eastAsia="Arial" w:hAnsi="Arial" w:cs="Arial"/>
                <w:sz w:val="22"/>
                <w:szCs w:val="22"/>
              </w:rPr>
            </w:pPr>
            <w:r w:rsidRPr="00175E10">
              <w:rPr>
                <w:rFonts w:ascii="Calibri" w:eastAsia="Calibri" w:hAnsi="Calibri" w:cs="Calibri"/>
                <w:sz w:val="22"/>
                <w:szCs w:val="22"/>
              </w:rPr>
              <w:t>82, 103, 105, 110, 115, 168</w:t>
            </w:r>
          </w:p>
        </w:tc>
      </w:tr>
      <w:tr w:rsidR="00BF1B79" w14:paraId="5B25215D" w14:textId="77777777" w:rsidTr="00EF5252">
        <w:tc>
          <w:tcPr>
            <w:tcW w:w="5440" w:type="dxa"/>
          </w:tcPr>
          <w:p w14:paraId="659B786C" w14:textId="77777777" w:rsidR="00BF1B79" w:rsidRDefault="0080725B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National Quality Standard</w:t>
            </w:r>
          </w:p>
        </w:tc>
        <w:tc>
          <w:tcPr>
            <w:tcW w:w="5441" w:type="dxa"/>
          </w:tcPr>
          <w:p w14:paraId="1867A4AC" w14:textId="77777777" w:rsidR="00BF1B79" w:rsidRDefault="0080725B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QA2, QA3, 7.1</w:t>
            </w:r>
          </w:p>
        </w:tc>
      </w:tr>
      <w:tr w:rsidR="00BF1B79" w14:paraId="71B4E352" w14:textId="77777777" w:rsidTr="00EF5252">
        <w:tc>
          <w:tcPr>
            <w:tcW w:w="5440" w:type="dxa"/>
          </w:tcPr>
          <w:p w14:paraId="3A7DE68B" w14:textId="77777777" w:rsidR="00BF1B79" w:rsidRDefault="0080725B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 Service Policies/Documentation</w:t>
            </w:r>
          </w:p>
        </w:tc>
        <w:tc>
          <w:tcPr>
            <w:tcW w:w="5441" w:type="dxa"/>
          </w:tcPr>
          <w:p w14:paraId="0B0242B5" w14:textId="4883AADC" w:rsidR="00BF1B79" w:rsidRDefault="0080725B" w:rsidP="0080725B">
            <w:pPr>
              <w:pStyle w:val="Normal1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Educator </w:t>
            </w:r>
            <w:r w:rsidR="008162DF">
              <w:rPr>
                <w:rFonts w:ascii="Calibri" w:eastAsia="Calibri" w:hAnsi="Calibri" w:cs="Calibri"/>
                <w:sz w:val="22"/>
                <w:szCs w:val="22"/>
              </w:rPr>
              <w:t>online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anual</w:t>
            </w:r>
          </w:p>
          <w:p w14:paraId="70C5D5EB" w14:textId="77777777" w:rsidR="00BF1B79" w:rsidRDefault="0080725B" w:rsidP="0080725B">
            <w:pPr>
              <w:pStyle w:val="Normal1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Family handbook</w:t>
            </w:r>
          </w:p>
          <w:p w14:paraId="70AC931A" w14:textId="77777777" w:rsidR="00BF1B79" w:rsidRDefault="0080725B" w:rsidP="0080725B">
            <w:pPr>
              <w:pStyle w:val="Normal1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Staffing policies</w:t>
            </w:r>
          </w:p>
          <w:p w14:paraId="27943AAB" w14:textId="77777777" w:rsidR="00BF1B79" w:rsidRDefault="0080725B" w:rsidP="0080725B">
            <w:pPr>
              <w:pStyle w:val="Normal1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Health &amp; Safety policies</w:t>
            </w:r>
          </w:p>
          <w:p w14:paraId="7C9B6D16" w14:textId="77777777" w:rsidR="0080725B" w:rsidRDefault="0080725B" w:rsidP="0080725B">
            <w:pPr>
              <w:pStyle w:val="Normal1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Providing a Child Safe Environment policies</w:t>
            </w:r>
          </w:p>
        </w:tc>
      </w:tr>
      <w:tr w:rsidR="00BF1B79" w14:paraId="2C16A429" w14:textId="77777777" w:rsidTr="00EF5252">
        <w:tc>
          <w:tcPr>
            <w:tcW w:w="5440" w:type="dxa"/>
          </w:tcPr>
          <w:p w14:paraId="4381A438" w14:textId="77777777" w:rsidR="00BF1B79" w:rsidRDefault="0080725B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5441" w:type="dxa"/>
          </w:tcPr>
          <w:p w14:paraId="5F85D3AE" w14:textId="77777777" w:rsidR="00BF1B79" w:rsidRDefault="0080725B" w:rsidP="0080725B">
            <w:pPr>
              <w:pStyle w:val="Normal1"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Work Health &amp; Safety Act 2011</w:t>
            </w:r>
          </w:p>
        </w:tc>
      </w:tr>
    </w:tbl>
    <w:p w14:paraId="7BA48C96" w14:textId="77777777" w:rsidR="00BF1B79" w:rsidRDefault="00BF1B79">
      <w:pPr>
        <w:pStyle w:val="Normal1"/>
        <w:rPr>
          <w:rFonts w:ascii="Times" w:eastAsia="Times" w:hAnsi="Times" w:cs="Times"/>
          <w:sz w:val="20"/>
          <w:szCs w:val="20"/>
        </w:rPr>
      </w:pPr>
    </w:p>
    <w:p w14:paraId="72B25292" w14:textId="77777777" w:rsidR="00BF1B79" w:rsidRDefault="00BF1B79">
      <w:pPr>
        <w:pStyle w:val="Normal1"/>
        <w:rPr>
          <w:rFonts w:ascii="Times" w:eastAsia="Times" w:hAnsi="Times" w:cs="Times"/>
          <w:sz w:val="20"/>
          <w:szCs w:val="20"/>
        </w:rPr>
      </w:pPr>
    </w:p>
    <w:p w14:paraId="3E16A373" w14:textId="77777777" w:rsidR="00BF1B79" w:rsidRPr="0080725B" w:rsidRDefault="0080725B" w:rsidP="0080725B">
      <w:pPr>
        <w:pStyle w:val="Normal1"/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PROCEDURE</w:t>
      </w:r>
    </w:p>
    <w:p w14:paraId="058948B9" w14:textId="77777777" w:rsidR="00BF1B79" w:rsidRDefault="0080725B" w:rsidP="62974E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All heating and cooling systems will be of good quality and checked regularly to ensure safety and reliability. </w:t>
      </w:r>
    </w:p>
    <w:p w14:paraId="7EB7A1CB" w14:textId="77777777" w:rsidR="00BF1B79" w:rsidRDefault="0080725B" w:rsidP="0080725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All heating and cooling systems and power cords will be kept in a safe area and away from children.</w:t>
      </w:r>
    </w:p>
    <w:p w14:paraId="65C6D89D" w14:textId="77777777" w:rsidR="00BF1B79" w:rsidRDefault="0080725B" w:rsidP="0080725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Educators will take individual needs and specific activities into account when ensuring that heating, ventilation levels are comfortable.</w:t>
      </w:r>
    </w:p>
    <w:p w14:paraId="1870E038" w14:textId="77777777" w:rsidR="00BF1B79" w:rsidRDefault="0080725B" w:rsidP="0080725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Should educators, children or families complain about the temperature in the service not being at a comfortable level, this matter will be drawn to the attention of management and steps will be made to address the problem.</w:t>
      </w:r>
    </w:p>
    <w:p w14:paraId="3D568E60" w14:textId="77777777" w:rsidR="00BF1B79" w:rsidRDefault="0080725B" w:rsidP="62974E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Adequate ventilation will be </w:t>
      </w:r>
      <w:proofErr w:type="gramStart"/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provided at all times</w:t>
      </w:r>
      <w:proofErr w:type="gramEnd"/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. Windows will be properly maintained to en</w:t>
      </w:r>
      <w:r w:rsidR="000F405A"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sure easy opening and protection</w:t>
      </w:r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.</w:t>
      </w:r>
    </w:p>
    <w:p w14:paraId="3CA0BE09" w14:textId="3C7A4CA2" w:rsidR="00BF1B79" w:rsidRDefault="0080725B" w:rsidP="0080725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Where activities involve toxic materials such as paints and glues, </w:t>
      </w:r>
      <w:r w:rsidR="00C6027A">
        <w:rPr>
          <w:rFonts w:ascii="Calibri" w:eastAsia="Calibri" w:hAnsi="Calibri" w:cs="Calibri"/>
          <w:color w:val="000000"/>
          <w:sz w:val="22"/>
          <w:szCs w:val="22"/>
        </w:rPr>
        <w:t>educators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are to ensure there is adequate ventilation before undertaking the activity.</w:t>
      </w:r>
    </w:p>
    <w:p w14:paraId="7DA72BD8" w14:textId="77777777" w:rsidR="00BF1B79" w:rsidRDefault="0080725B" w:rsidP="0080725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Windows are to be opened during operation of the service unless closed to protect from extreme weather conditions.</w:t>
      </w:r>
    </w:p>
    <w:p w14:paraId="1149EFBD" w14:textId="77777777" w:rsidR="00BF1B79" w:rsidRDefault="0080725B" w:rsidP="62974E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Natural light </w:t>
      </w:r>
      <w:proofErr w:type="gramStart"/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is considered to be</w:t>
      </w:r>
      <w:proofErr w:type="gramEnd"/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 most desirable. Provision of natural light areas will be enhanced as much as possible.</w:t>
      </w:r>
    </w:p>
    <w:p w14:paraId="5C7ED949" w14:textId="77777777" w:rsidR="00BF1B79" w:rsidRDefault="0080725B" w:rsidP="0080725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areas made available for children's homework or other fine detail, natural light will be made available where possible and good overhead lighting provided.</w:t>
      </w:r>
    </w:p>
    <w:p w14:paraId="0962A522" w14:textId="77777777" w:rsidR="00BF1B79" w:rsidRDefault="0080725B" w:rsidP="62974E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Adequate light will be maintained both indoors and outdoors. A security light will be placed at the entrance to the service that clearly provides unobstructed view of the door and surrounding areas.</w:t>
      </w:r>
    </w:p>
    <w:p w14:paraId="2865B423" w14:textId="26C65AAF" w:rsidR="00BF1B79" w:rsidRDefault="0080725B" w:rsidP="62974E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/>
        <w:rPr>
          <w:rFonts w:ascii="Calibri" w:eastAsia="Calibri" w:hAnsi="Calibri" w:cs="Calibri"/>
          <w:color w:val="000000"/>
          <w:sz w:val="22"/>
          <w:szCs w:val="22"/>
          <w:lang w:val="en-AU"/>
        </w:rPr>
      </w:pPr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Outdoor lighting will be suitable so that families, </w:t>
      </w:r>
      <w:r w:rsidR="00A14DB1"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ed</w:t>
      </w:r>
      <w:r w:rsidR="00A80991"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u</w:t>
      </w:r>
      <w:r w:rsidR="00A14DB1"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cators</w:t>
      </w:r>
      <w:r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 and children can enter and exit the building without any unsafe dark areas.</w:t>
      </w:r>
      <w:r w:rsidR="000F405A"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 If this responsibility falls onto the jurisdiction of the </w:t>
      </w:r>
      <w:proofErr w:type="gramStart"/>
      <w:r w:rsidR="000F405A"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>school</w:t>
      </w:r>
      <w:proofErr w:type="gramEnd"/>
      <w:r w:rsidR="000F405A" w:rsidRPr="62974E91"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  <w:t xml:space="preserve"> then any outdoor lighting issues will be brought to the attention of management who will ensure the issues is then passed on to the school.</w:t>
      </w:r>
    </w:p>
    <w:p w14:paraId="60BC71B0" w14:textId="77777777" w:rsidR="00BF1B79" w:rsidRDefault="00BF1B79">
      <w:pPr>
        <w:pStyle w:val="Normal1"/>
        <w:rPr>
          <w:rFonts w:ascii="Calibri" w:eastAsia="Calibri" w:hAnsi="Calibri" w:cs="Calibri"/>
          <w:sz w:val="22"/>
          <w:szCs w:val="22"/>
        </w:rPr>
      </w:pPr>
    </w:p>
    <w:sectPr w:rsidR="00BF1B79" w:rsidSect="00EF5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NumType w:start="1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0643" w14:textId="77777777" w:rsidR="0026362F" w:rsidRDefault="0026362F" w:rsidP="0080725B">
      <w:pPr>
        <w:spacing w:line="240" w:lineRule="auto"/>
        <w:ind w:left="0" w:hanging="2"/>
      </w:pPr>
      <w:r>
        <w:separator/>
      </w:r>
    </w:p>
  </w:endnote>
  <w:endnote w:type="continuationSeparator" w:id="0">
    <w:p w14:paraId="2DEC2762" w14:textId="77777777" w:rsidR="0026362F" w:rsidRDefault="0026362F" w:rsidP="0080725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 VAG Rounded Thin">
    <w:altName w:val="Courier New"/>
    <w:panose1 w:val="020B0604020202020204"/>
    <w:charset w:val="00"/>
    <w:family w:val="roman"/>
    <w:pitch w:val="variable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Drops of Jupiter">
    <w:altName w:val="Calibri"/>
    <w:panose1 w:val="020B0604020202020204"/>
    <w:charset w:val="00"/>
    <w:family w:val="auto"/>
    <w:pitch w:val="variable"/>
    <w:sig w:usb0="A000002F" w:usb1="00000002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482F" w14:textId="77777777" w:rsidR="0080725B" w:rsidRDefault="0080725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1572AE2" w14:textId="77777777" w:rsidR="0080725B" w:rsidRDefault="0080725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E6DF" w14:textId="77777777" w:rsidR="0080725B" w:rsidRDefault="0080725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BFF5" w14:textId="77777777" w:rsidR="0080725B" w:rsidRDefault="0080725B" w:rsidP="0080725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56D7" w14:textId="77777777" w:rsidR="0026362F" w:rsidRDefault="0026362F" w:rsidP="0080725B">
      <w:pPr>
        <w:spacing w:line="240" w:lineRule="auto"/>
        <w:ind w:left="0" w:hanging="2"/>
      </w:pPr>
      <w:r>
        <w:separator/>
      </w:r>
    </w:p>
  </w:footnote>
  <w:footnote w:type="continuationSeparator" w:id="0">
    <w:p w14:paraId="3A00EBD2" w14:textId="77777777" w:rsidR="0026362F" w:rsidRDefault="0026362F" w:rsidP="0080725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53D0" w14:textId="77777777" w:rsidR="0080725B" w:rsidRDefault="0080725B" w:rsidP="0080725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0BAC" w14:textId="311749FF" w:rsidR="0080725B" w:rsidRPr="0080725B" w:rsidRDefault="0080725B" w:rsidP="0080725B">
    <w:pPr>
      <w:pStyle w:val="Header"/>
      <w:ind w:left="0" w:hanging="2"/>
      <w:rPr>
        <w:rFonts w:ascii="Calibri" w:hAnsi="Calibri" w:cs="Arial"/>
        <w:sz w:val="18"/>
        <w:szCs w:val="18"/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EAEF" w14:textId="77777777" w:rsidR="00EF5252" w:rsidRPr="002412F4" w:rsidRDefault="00EF5252" w:rsidP="00EF5252">
    <w:pPr>
      <w:pStyle w:val="Header"/>
      <w:ind w:left="0" w:hanging="2"/>
      <w:jc w:val="both"/>
      <w:rPr>
        <w:rFonts w:ascii="KG Drops of Jupiter" w:hAnsi="KG Drops of Jupiter"/>
        <w:sz w:val="16"/>
        <w:szCs w:val="18"/>
        <w:lang w:val="en-AU"/>
      </w:rPr>
    </w:pPr>
    <w:r w:rsidRPr="00625E82">
      <w:rPr>
        <w:rFonts w:ascii="KG Drops of Jupiter" w:hAnsi="KG Drops of Jupiter"/>
        <w:noProof/>
      </w:rPr>
      <w:drawing>
        <wp:anchor distT="0" distB="0" distL="114300" distR="114300" simplePos="0" relativeHeight="251659264" behindDoc="0" locked="0" layoutInCell="1" allowOverlap="1" wp14:anchorId="10D3907E" wp14:editId="1F5AF80F">
          <wp:simplePos x="0" y="0"/>
          <wp:positionH relativeFrom="column">
            <wp:posOffset>6229350</wp:posOffset>
          </wp:positionH>
          <wp:positionV relativeFrom="paragraph">
            <wp:posOffset>-249555</wp:posOffset>
          </wp:positionV>
          <wp:extent cx="552450" cy="554990"/>
          <wp:effectExtent l="0" t="0" r="0" b="0"/>
          <wp:wrapThrough wrapText="bothSides">
            <wp:wrapPolygon edited="0">
              <wp:start x="0" y="0"/>
              <wp:lineTo x="0" y="20760"/>
              <wp:lineTo x="20855" y="20760"/>
              <wp:lineTo x="20855" y="0"/>
              <wp:lineTo x="0" y="0"/>
            </wp:wrapPolygon>
          </wp:wrapThrough>
          <wp:docPr id="9" name="Picture 9" descr="Description: MJCC Logo - Grey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JCC Logo - Grey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5E82">
      <w:rPr>
        <w:rFonts w:ascii="KG Drops of Jupiter" w:hAnsi="KG Drops of Jupiter"/>
        <w:sz w:val="16"/>
        <w:szCs w:val="18"/>
        <w:lang w:val="en-AU"/>
      </w:rPr>
      <w:t>POLICIES &amp; PROCEDURES</w:t>
    </w:r>
  </w:p>
  <w:p w14:paraId="7C288355" w14:textId="77777777" w:rsidR="0080725B" w:rsidRDefault="0080725B" w:rsidP="0080725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B23"/>
    <w:multiLevelType w:val="multilevel"/>
    <w:tmpl w:val="338498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33D33F8"/>
    <w:multiLevelType w:val="multilevel"/>
    <w:tmpl w:val="B96E4F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4C1674B"/>
    <w:multiLevelType w:val="hybridMultilevel"/>
    <w:tmpl w:val="D406A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752E27"/>
    <w:multiLevelType w:val="multilevel"/>
    <w:tmpl w:val="8918F2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C164021"/>
    <w:multiLevelType w:val="hybridMultilevel"/>
    <w:tmpl w:val="ED580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E543AA"/>
    <w:multiLevelType w:val="hybridMultilevel"/>
    <w:tmpl w:val="27566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323151">
    <w:abstractNumId w:val="1"/>
  </w:num>
  <w:num w:numId="2" w16cid:durableId="761418044">
    <w:abstractNumId w:val="0"/>
  </w:num>
  <w:num w:numId="3" w16cid:durableId="948201326">
    <w:abstractNumId w:val="3"/>
  </w:num>
  <w:num w:numId="4" w16cid:durableId="1661276220">
    <w:abstractNumId w:val="5"/>
  </w:num>
  <w:num w:numId="5" w16cid:durableId="923993295">
    <w:abstractNumId w:val="2"/>
  </w:num>
  <w:num w:numId="6" w16cid:durableId="1151822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B79"/>
    <w:rsid w:val="000F405A"/>
    <w:rsid w:val="00110A01"/>
    <w:rsid w:val="00175E10"/>
    <w:rsid w:val="0026362F"/>
    <w:rsid w:val="0080725B"/>
    <w:rsid w:val="008162DF"/>
    <w:rsid w:val="00A14DB1"/>
    <w:rsid w:val="00A80991"/>
    <w:rsid w:val="00B12327"/>
    <w:rsid w:val="00B51434"/>
    <w:rsid w:val="00BF1B79"/>
    <w:rsid w:val="00BF3AEA"/>
    <w:rsid w:val="00C6027A"/>
    <w:rsid w:val="00DE7EAE"/>
    <w:rsid w:val="00EF5252"/>
    <w:rsid w:val="00FB3790"/>
    <w:rsid w:val="6297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95B9A6"/>
  <w15:docId w15:val="{EE190F12-ADA3-469A-96DF-4BF74659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AU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rFonts w:ascii="Cambria" w:hAnsi="Cambria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customStyle="1" w:styleId="ppindenttext">
    <w:name w:val="pp indent text"/>
    <w:pPr>
      <w:suppressAutoHyphens/>
      <w:spacing w:after="113" w:line="260" w:lineRule="atLeast"/>
      <w:ind w:leftChars="-1" w:left="283" w:hangingChars="1" w:hanging="1"/>
      <w:textDirection w:val="btLr"/>
      <w:textAlignment w:val="top"/>
      <w:outlineLvl w:val="0"/>
    </w:pPr>
    <w:rPr>
      <w:rFonts w:ascii="T VAG Rounded Thin" w:hAnsi="T VAG Rounded Thin"/>
      <w:noProof/>
      <w:position w:val="-1"/>
      <w:sz w:val="22"/>
      <w:lang w:val="uz-Cyrl-UZ" w:eastAsia="uz-Cyrl-UZ"/>
    </w:rPr>
  </w:style>
  <w:style w:type="character" w:customStyle="1" w:styleId="BODYCOPY">
    <w:name w:val="BODY COPY"/>
    <w:rPr>
      <w:rFonts w:ascii="Gill Sans" w:hAnsi="Gill Sans"/>
      <w:color w:val="000000"/>
      <w:spacing w:val="0"/>
      <w:w w:val="100"/>
      <w:position w:val="-1"/>
      <w:sz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Spacing">
    <w:name w:val="No Spacing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val="en-AU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pwTA2J9DdZww23LrRL/ui0BZQ==">AMUW2mXnsrd0Qt95eUqKV+1cZRQ2jgIwaP9pno7VK6hj/glo+PhTQT1N1K/iYpVxLvSOyjp5W1X1nioXgKzc4D7Pgscck//kMW9vrKfiFW8Que9dw1Txajs=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>MJCC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Maroubra Junction Care Centre</dc:creator>
  <cp:lastModifiedBy>Manea Ford</cp:lastModifiedBy>
  <cp:revision>12</cp:revision>
  <dcterms:created xsi:type="dcterms:W3CDTF">2015-06-08T01:45:00Z</dcterms:created>
  <dcterms:modified xsi:type="dcterms:W3CDTF">2025-06-13T06:14:00Z</dcterms:modified>
</cp:coreProperties>
</file>