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AECB5" w14:textId="77777777" w:rsidR="00B21FBD" w:rsidRPr="00CE672A" w:rsidRDefault="00504B44" w:rsidP="00B21FBD">
      <w:pPr>
        <w:pStyle w:val="pphead2"/>
        <w:rPr>
          <w:rFonts w:ascii="Calibri" w:hAnsi="Calibri" w:cs="Arial"/>
          <w:noProof w:val="0"/>
          <w:sz w:val="32"/>
          <w:szCs w:val="32"/>
        </w:rPr>
      </w:pPr>
      <w:r>
        <w:rPr>
          <w:rFonts w:ascii="Calibri" w:hAnsi="Calibri" w:cs="Arial"/>
          <w:noProof w:val="0"/>
          <w:sz w:val="32"/>
          <w:szCs w:val="32"/>
        </w:rPr>
        <w:t>GENDER EQUITY</w:t>
      </w:r>
    </w:p>
    <w:p w14:paraId="672A6659" w14:textId="77777777" w:rsidR="00B21FBD" w:rsidRPr="00CE672A" w:rsidRDefault="00B21FBD" w:rsidP="00B21FBD">
      <w:pPr>
        <w:pStyle w:val="pphead2"/>
        <w:rPr>
          <w:rFonts w:ascii="Calibri" w:hAnsi="Calibri" w:cs="Arial"/>
          <w:noProof w:val="0"/>
          <w:sz w:val="22"/>
          <w:szCs w:val="22"/>
        </w:rPr>
      </w:pPr>
    </w:p>
    <w:p w14:paraId="5A0F82CE" w14:textId="77777777" w:rsidR="00B21FBD" w:rsidRPr="00CE672A" w:rsidRDefault="003A78EB" w:rsidP="003A78EB">
      <w:pPr>
        <w:pStyle w:val="pphead2"/>
        <w:shd w:val="clear" w:color="auto" w:fill="C0C0C0"/>
        <w:rPr>
          <w:rFonts w:ascii="Calibri" w:hAnsi="Calibri" w:cs="Arial"/>
          <w:b/>
          <w:noProof w:val="0"/>
          <w:sz w:val="22"/>
          <w:szCs w:val="22"/>
        </w:rPr>
      </w:pPr>
      <w:r w:rsidRPr="00CE672A">
        <w:rPr>
          <w:rFonts w:ascii="Calibri" w:hAnsi="Calibri" w:cs="Arial"/>
          <w:b/>
          <w:noProof w:val="0"/>
          <w:sz w:val="22"/>
          <w:szCs w:val="22"/>
        </w:rPr>
        <w:t>POLICY STATEMENT</w:t>
      </w:r>
    </w:p>
    <w:p w14:paraId="63D09713" w14:textId="6C8F3340" w:rsidR="00504B44" w:rsidRDefault="00E46EC6" w:rsidP="00504B44">
      <w:pPr>
        <w:pStyle w:val="pptext"/>
        <w:shd w:val="clear" w:color="auto" w:fill="C0C0C0"/>
        <w:rPr>
          <w:rFonts w:ascii="Calibri" w:hAnsi="Calibri" w:cs="Arial"/>
          <w:noProof w:val="0"/>
          <w:sz w:val="22"/>
          <w:szCs w:val="22"/>
        </w:rPr>
      </w:pPr>
      <w:r>
        <w:rPr>
          <w:rFonts w:ascii="Calibri" w:hAnsi="Calibri" w:cs="Arial"/>
          <w:noProof w:val="0"/>
          <w:sz w:val="22"/>
          <w:szCs w:val="22"/>
        </w:rPr>
        <w:t>Our service</w:t>
      </w:r>
      <w:r w:rsidR="00BB247F">
        <w:rPr>
          <w:rFonts w:ascii="Calibri" w:hAnsi="Calibri" w:cs="Arial"/>
          <w:noProof w:val="0"/>
          <w:sz w:val="22"/>
          <w:szCs w:val="22"/>
        </w:rPr>
        <w:t xml:space="preserve"> </w:t>
      </w:r>
      <w:r w:rsidR="00504B44">
        <w:rPr>
          <w:rFonts w:ascii="Calibri" w:hAnsi="Calibri" w:cs="Arial"/>
          <w:noProof w:val="0"/>
          <w:sz w:val="22"/>
          <w:szCs w:val="22"/>
        </w:rPr>
        <w:t xml:space="preserve">is committed to help children develop to their full potential by fostering development in all domains, regardless of their gender. </w:t>
      </w:r>
      <w:r w:rsidR="002B561C">
        <w:rPr>
          <w:rFonts w:ascii="Calibri" w:hAnsi="Calibri" w:cs="Arial"/>
          <w:noProof w:val="0"/>
          <w:sz w:val="22"/>
          <w:szCs w:val="22"/>
        </w:rPr>
        <w:t>Children</w:t>
      </w:r>
      <w:r w:rsidR="00504B44">
        <w:rPr>
          <w:rFonts w:ascii="Calibri" w:hAnsi="Calibri" w:cs="Arial"/>
          <w:noProof w:val="0"/>
          <w:sz w:val="22"/>
          <w:szCs w:val="22"/>
        </w:rPr>
        <w:t xml:space="preserve"> will be encouraged to develop a sense of pride and self-worth, as they develop respect for each other’s rights and responsibilities.</w:t>
      </w:r>
    </w:p>
    <w:p w14:paraId="0A37501D" w14:textId="77777777" w:rsidR="00504B44" w:rsidRDefault="00504B44" w:rsidP="00504B44">
      <w:pPr>
        <w:pStyle w:val="pptext"/>
        <w:shd w:val="clear" w:color="auto" w:fill="C0C0C0"/>
        <w:rPr>
          <w:rFonts w:ascii="Calibri" w:hAnsi="Calibri" w:cs="Arial"/>
          <w:noProof w:val="0"/>
          <w:sz w:val="22"/>
          <w:szCs w:val="22"/>
        </w:rPr>
      </w:pPr>
    </w:p>
    <w:p w14:paraId="4C8BC4FE" w14:textId="280367D0" w:rsidR="00504B44" w:rsidRDefault="00E46EC6" w:rsidP="00504B44">
      <w:pPr>
        <w:pStyle w:val="pptext"/>
        <w:shd w:val="clear" w:color="auto" w:fill="C0C0C0"/>
        <w:rPr>
          <w:rFonts w:ascii="Calibri" w:hAnsi="Calibri" w:cs="Arial"/>
          <w:noProof w:val="0"/>
          <w:sz w:val="22"/>
          <w:szCs w:val="22"/>
        </w:rPr>
      </w:pPr>
      <w:r>
        <w:rPr>
          <w:rFonts w:ascii="Calibri" w:hAnsi="Calibri" w:cs="Arial"/>
          <w:noProof w:val="0"/>
          <w:sz w:val="22"/>
          <w:szCs w:val="22"/>
        </w:rPr>
        <w:t>We aim to</w:t>
      </w:r>
      <w:r w:rsidR="00504B44">
        <w:rPr>
          <w:rFonts w:ascii="Calibri" w:hAnsi="Calibri" w:cs="Arial"/>
          <w:noProof w:val="0"/>
          <w:sz w:val="22"/>
          <w:szCs w:val="22"/>
        </w:rPr>
        <w:t xml:space="preserve"> provide a wider range of practices to actively counteract bias and prejudice. All children will be treated in the same manner and be provided with the same access to all materials and equipment. All programs, experiences and resources offered to children, will be varied with no stereotypical material </w:t>
      </w:r>
      <w:proofErr w:type="gramStart"/>
      <w:r w:rsidR="00504B44">
        <w:rPr>
          <w:rFonts w:ascii="Calibri" w:hAnsi="Calibri" w:cs="Arial"/>
          <w:noProof w:val="0"/>
          <w:sz w:val="22"/>
          <w:szCs w:val="22"/>
        </w:rPr>
        <w:t>in regard to</w:t>
      </w:r>
      <w:proofErr w:type="gramEnd"/>
      <w:r w:rsidR="00504B44">
        <w:rPr>
          <w:rFonts w:ascii="Calibri" w:hAnsi="Calibri" w:cs="Arial"/>
          <w:noProof w:val="0"/>
          <w:sz w:val="22"/>
          <w:szCs w:val="22"/>
        </w:rPr>
        <w:t xml:space="preserve"> gender. </w:t>
      </w:r>
    </w:p>
    <w:p w14:paraId="25B2707A" w14:textId="77777777" w:rsidR="00045F63" w:rsidRPr="00E566DD" w:rsidRDefault="00045F63" w:rsidP="00504B44">
      <w:pPr>
        <w:pStyle w:val="pptext"/>
        <w:shd w:val="clear" w:color="auto" w:fill="C0C0C0"/>
        <w:rPr>
          <w:rFonts w:ascii="Calibri" w:hAnsi="Calibri" w:cs="Arial"/>
          <w:sz w:val="22"/>
          <w:szCs w:val="22"/>
          <w:lang w:val="en-US"/>
        </w:rPr>
      </w:pPr>
    </w:p>
    <w:p w14:paraId="5DAB6C7B" w14:textId="77777777" w:rsidR="00E566DD" w:rsidRDefault="00E566DD" w:rsidP="00B21FBD">
      <w:pPr>
        <w:pStyle w:val="pphead2"/>
        <w:rPr>
          <w:rFonts w:ascii="Calibri" w:hAnsi="Calibri" w:cs="Arial"/>
          <w:b/>
          <w:noProof w:val="0"/>
          <w:sz w:val="22"/>
          <w:szCs w:val="22"/>
        </w:rPr>
      </w:pPr>
    </w:p>
    <w:p w14:paraId="08182801" w14:textId="77777777" w:rsidR="003A78EB" w:rsidRPr="00CE672A" w:rsidRDefault="003A78EB" w:rsidP="00B21FBD">
      <w:pPr>
        <w:pStyle w:val="pphead2"/>
        <w:rPr>
          <w:rFonts w:ascii="Calibri" w:hAnsi="Calibri" w:cs="Arial"/>
          <w:b/>
          <w:noProof w:val="0"/>
          <w:sz w:val="22"/>
          <w:szCs w:val="22"/>
        </w:rPr>
      </w:pPr>
      <w:r w:rsidRPr="00CE672A">
        <w:rPr>
          <w:rFonts w:ascii="Calibri" w:hAnsi="Calibri" w:cs="Arial"/>
          <w:b/>
          <w:noProof w:val="0"/>
          <w:sz w:val="22"/>
          <w:szCs w:val="22"/>
        </w:rPr>
        <w:t>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5"/>
        <w:gridCol w:w="4905"/>
      </w:tblGrid>
      <w:tr w:rsidR="003A78EB" w:rsidRPr="00256A36" w14:paraId="0CDEAF6A" w14:textId="77777777" w:rsidTr="61F830A8">
        <w:tc>
          <w:tcPr>
            <w:tcW w:w="3794" w:type="dxa"/>
          </w:tcPr>
          <w:p w14:paraId="5D22E3EB" w14:textId="77777777" w:rsidR="003A78EB" w:rsidRPr="00256A36" w:rsidRDefault="003A78EB" w:rsidP="003A78EB">
            <w:pPr>
              <w:spacing w:line="320" w:lineRule="atLeast"/>
              <w:rPr>
                <w:rFonts w:ascii="Calibri" w:eastAsia="MS Minngs" w:hAnsi="Calibri" w:cs="Arial"/>
                <w:noProof/>
                <w:sz w:val="22"/>
                <w:szCs w:val="22"/>
              </w:rPr>
            </w:pPr>
            <w:r w:rsidRPr="00256A36">
              <w:rPr>
                <w:rFonts w:ascii="Calibri" w:eastAsia="MS Minngs" w:hAnsi="Calibri" w:cs="Arial"/>
                <w:noProof/>
                <w:sz w:val="22"/>
                <w:szCs w:val="22"/>
              </w:rPr>
              <w:t>Education and Care Services National Regulations</w:t>
            </w:r>
          </w:p>
        </w:tc>
        <w:tc>
          <w:tcPr>
            <w:tcW w:w="5062" w:type="dxa"/>
          </w:tcPr>
          <w:p w14:paraId="6F0E6DD3" w14:textId="77777777" w:rsidR="006A2BC5" w:rsidRPr="00E566DD" w:rsidRDefault="002B561C" w:rsidP="003A78EB">
            <w:pPr>
              <w:spacing w:line="320" w:lineRule="atLeast"/>
              <w:rPr>
                <w:rFonts w:ascii="Calibri" w:eastAsia="MS Mincho" w:hAnsi="Calibri" w:cs="Arial"/>
                <w:sz w:val="22"/>
                <w:szCs w:val="22"/>
              </w:rPr>
            </w:pPr>
            <w:r>
              <w:rPr>
                <w:rFonts w:ascii="Calibri" w:eastAsia="MS Mincho" w:hAnsi="Calibri" w:cs="Arial"/>
                <w:sz w:val="22"/>
                <w:szCs w:val="22"/>
              </w:rPr>
              <w:t>73, 74, 155, 156</w:t>
            </w:r>
          </w:p>
        </w:tc>
      </w:tr>
      <w:tr w:rsidR="003A78EB" w:rsidRPr="00256A36" w14:paraId="4707F032" w14:textId="77777777" w:rsidTr="61F830A8">
        <w:tc>
          <w:tcPr>
            <w:tcW w:w="3794" w:type="dxa"/>
          </w:tcPr>
          <w:p w14:paraId="64A4F8A2" w14:textId="77777777" w:rsidR="003A78EB" w:rsidRPr="00256A36" w:rsidRDefault="003A78EB" w:rsidP="003A78EB">
            <w:pPr>
              <w:spacing w:line="320" w:lineRule="atLeast"/>
              <w:rPr>
                <w:rFonts w:ascii="Calibri" w:eastAsia="MS Minngs" w:hAnsi="Calibri" w:cs="Arial"/>
                <w:noProof/>
                <w:sz w:val="22"/>
                <w:szCs w:val="22"/>
              </w:rPr>
            </w:pPr>
            <w:r w:rsidRPr="00256A36">
              <w:rPr>
                <w:rFonts w:ascii="Calibri" w:eastAsia="MS Minngs" w:hAnsi="Calibri" w:cs="Arial"/>
                <w:noProof/>
                <w:sz w:val="22"/>
                <w:szCs w:val="22"/>
              </w:rPr>
              <w:t>National Quality Standard</w:t>
            </w:r>
          </w:p>
        </w:tc>
        <w:tc>
          <w:tcPr>
            <w:tcW w:w="5062" w:type="dxa"/>
          </w:tcPr>
          <w:p w14:paraId="1D2381F7" w14:textId="77777777" w:rsidR="003A78EB" w:rsidRPr="00256A36" w:rsidRDefault="61F830A8" w:rsidP="002B561C">
            <w:pPr>
              <w:spacing w:line="320" w:lineRule="atLeast"/>
              <w:rPr>
                <w:rFonts w:ascii="Calibri" w:eastAsia="MS Minngs" w:hAnsi="Calibri" w:cs="Arial"/>
                <w:noProof/>
                <w:sz w:val="22"/>
                <w:szCs w:val="22"/>
              </w:rPr>
            </w:pPr>
            <w:r w:rsidRPr="61F830A8">
              <w:rPr>
                <w:rFonts w:ascii="Calibri" w:eastAsia="MS Minngs" w:hAnsi="Calibri" w:cs="Arial"/>
                <w:noProof/>
                <w:sz w:val="22"/>
                <w:szCs w:val="22"/>
              </w:rPr>
              <w:t>1.1, 1.2, QA5</w:t>
            </w:r>
          </w:p>
        </w:tc>
      </w:tr>
      <w:tr w:rsidR="003A78EB" w:rsidRPr="00256A36" w14:paraId="02425CBB" w14:textId="77777777" w:rsidTr="61F830A8">
        <w:tc>
          <w:tcPr>
            <w:tcW w:w="3794" w:type="dxa"/>
          </w:tcPr>
          <w:p w14:paraId="52B8E4ED" w14:textId="77777777" w:rsidR="003A78EB" w:rsidRPr="00256A36" w:rsidRDefault="003A78EB" w:rsidP="003A78EB">
            <w:pPr>
              <w:spacing w:line="320" w:lineRule="atLeast"/>
              <w:rPr>
                <w:rFonts w:ascii="Calibri" w:eastAsia="MS Minngs" w:hAnsi="Calibri" w:cs="Arial"/>
                <w:noProof/>
                <w:sz w:val="22"/>
                <w:szCs w:val="22"/>
              </w:rPr>
            </w:pPr>
            <w:r w:rsidRPr="00256A36">
              <w:rPr>
                <w:rFonts w:ascii="Calibri" w:eastAsia="MS Minngs" w:hAnsi="Calibri" w:cs="Arial"/>
                <w:noProof/>
                <w:sz w:val="22"/>
                <w:szCs w:val="22"/>
              </w:rPr>
              <w:t>Other Service policies/documentation</w:t>
            </w:r>
          </w:p>
        </w:tc>
        <w:tc>
          <w:tcPr>
            <w:tcW w:w="5062" w:type="dxa"/>
          </w:tcPr>
          <w:p w14:paraId="6A9E4B50" w14:textId="77777777" w:rsidR="00614A44" w:rsidRPr="002B561C" w:rsidRDefault="00614A44" w:rsidP="00444D11">
            <w:pPr>
              <w:widowControl w:val="0"/>
              <w:numPr>
                <w:ilvl w:val="0"/>
                <w:numId w:val="1"/>
              </w:numPr>
              <w:tabs>
                <w:tab w:val="left" w:pos="42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libri" w:eastAsia="MS Mincho" w:hAnsi="Calibri" w:cs="Arial"/>
                <w:sz w:val="22"/>
                <w:szCs w:val="22"/>
              </w:rPr>
            </w:pPr>
            <w:r>
              <w:rPr>
                <w:rFonts w:ascii="Calibri" w:hAnsi="Calibri" w:cs="Arial"/>
                <w:sz w:val="22"/>
                <w:szCs w:val="22"/>
              </w:rPr>
              <w:t>Programming &amp; Evaluation policy</w:t>
            </w:r>
          </w:p>
          <w:p w14:paraId="3BC33AEA" w14:textId="77777777" w:rsidR="002B561C" w:rsidRPr="00444D11" w:rsidRDefault="002B561C" w:rsidP="00444D11">
            <w:pPr>
              <w:widowControl w:val="0"/>
              <w:numPr>
                <w:ilvl w:val="0"/>
                <w:numId w:val="1"/>
              </w:numPr>
              <w:tabs>
                <w:tab w:val="left" w:pos="42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libri" w:eastAsia="MS Mincho" w:hAnsi="Calibri" w:cs="Arial"/>
                <w:sz w:val="22"/>
                <w:szCs w:val="22"/>
              </w:rPr>
            </w:pPr>
            <w:r>
              <w:rPr>
                <w:rFonts w:ascii="Calibri" w:eastAsia="MS Mincho" w:hAnsi="Calibri" w:cs="Arial"/>
                <w:sz w:val="22"/>
                <w:szCs w:val="22"/>
              </w:rPr>
              <w:t>Interactions with Children policy</w:t>
            </w:r>
          </w:p>
        </w:tc>
      </w:tr>
      <w:tr w:rsidR="003A78EB" w:rsidRPr="00256A36" w14:paraId="04721B1B" w14:textId="77777777" w:rsidTr="61F830A8">
        <w:tc>
          <w:tcPr>
            <w:tcW w:w="3794" w:type="dxa"/>
          </w:tcPr>
          <w:p w14:paraId="67AC7CDD" w14:textId="77777777" w:rsidR="003A78EB" w:rsidRPr="00256A36" w:rsidRDefault="003A78EB" w:rsidP="003A78EB">
            <w:pPr>
              <w:spacing w:line="320" w:lineRule="atLeast"/>
              <w:rPr>
                <w:rFonts w:ascii="Calibri" w:eastAsia="MS Minngs" w:hAnsi="Calibri" w:cs="Arial"/>
                <w:noProof/>
                <w:sz w:val="22"/>
                <w:szCs w:val="22"/>
              </w:rPr>
            </w:pPr>
            <w:r w:rsidRPr="00256A36">
              <w:rPr>
                <w:rFonts w:ascii="Calibri" w:eastAsia="MS Minngs" w:hAnsi="Calibri" w:cs="Arial"/>
                <w:noProof/>
                <w:sz w:val="22"/>
                <w:szCs w:val="22"/>
              </w:rPr>
              <w:t>Other</w:t>
            </w:r>
          </w:p>
        </w:tc>
        <w:tc>
          <w:tcPr>
            <w:tcW w:w="5062" w:type="dxa"/>
            <w:vAlign w:val="center"/>
          </w:tcPr>
          <w:p w14:paraId="3CD73FE2" w14:textId="77777777" w:rsidR="00D811F3" w:rsidRPr="002B561C" w:rsidRDefault="003A78EB" w:rsidP="002B561C">
            <w:pPr>
              <w:widowControl w:val="0"/>
              <w:numPr>
                <w:ilvl w:val="0"/>
                <w:numId w:val="1"/>
              </w:numPr>
              <w:tabs>
                <w:tab w:val="left" w:pos="42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libri" w:hAnsi="Calibri" w:cs="Arial"/>
                <w:sz w:val="22"/>
                <w:szCs w:val="22"/>
              </w:rPr>
            </w:pPr>
            <w:r w:rsidRPr="00CE672A">
              <w:rPr>
                <w:rFonts w:ascii="Calibri" w:hAnsi="Calibri" w:cs="Arial"/>
                <w:sz w:val="22"/>
                <w:szCs w:val="22"/>
              </w:rPr>
              <w:t>My Time, Our Pl</w:t>
            </w:r>
            <w:r w:rsidR="00E86551">
              <w:rPr>
                <w:rFonts w:ascii="Calibri" w:hAnsi="Calibri" w:cs="Arial"/>
                <w:sz w:val="22"/>
                <w:szCs w:val="22"/>
              </w:rPr>
              <w:t>ace</w:t>
            </w:r>
          </w:p>
        </w:tc>
      </w:tr>
    </w:tbl>
    <w:p w14:paraId="6A05A809" w14:textId="77777777" w:rsidR="001C27EE" w:rsidRDefault="001C27EE" w:rsidP="00B21FBD">
      <w:pPr>
        <w:pStyle w:val="pphead2"/>
        <w:rPr>
          <w:rFonts w:ascii="Calibri" w:hAnsi="Calibri" w:cs="Arial"/>
          <w:noProof w:val="0"/>
          <w:color w:val="000090"/>
          <w:sz w:val="22"/>
          <w:szCs w:val="22"/>
        </w:rPr>
      </w:pPr>
    </w:p>
    <w:p w14:paraId="7A724E9F" w14:textId="77777777" w:rsidR="00B21FBD" w:rsidRPr="00CE672A" w:rsidRDefault="003A78EB" w:rsidP="00B21FBD">
      <w:pPr>
        <w:pStyle w:val="pphead2"/>
        <w:rPr>
          <w:rFonts w:ascii="Calibri" w:hAnsi="Calibri" w:cs="Arial"/>
          <w:b/>
          <w:noProof w:val="0"/>
          <w:sz w:val="22"/>
          <w:szCs w:val="22"/>
        </w:rPr>
      </w:pPr>
      <w:r w:rsidRPr="00CE672A">
        <w:rPr>
          <w:rFonts w:ascii="Calibri" w:hAnsi="Calibri" w:cs="Arial"/>
          <w:b/>
          <w:noProof w:val="0"/>
          <w:sz w:val="22"/>
          <w:szCs w:val="22"/>
        </w:rPr>
        <w:t>PROCEDURE</w:t>
      </w:r>
    </w:p>
    <w:p w14:paraId="5A39BBE3" w14:textId="77777777" w:rsidR="001C27EE" w:rsidRDefault="001C27EE" w:rsidP="001C27EE">
      <w:pPr>
        <w:spacing w:after="113" w:line="260" w:lineRule="atLeast"/>
        <w:rPr>
          <w:rFonts w:ascii="Arial" w:hAnsi="Arial" w:cs="Arial"/>
          <w:sz w:val="22"/>
          <w:szCs w:val="22"/>
          <w:lang w:val="en-AU"/>
        </w:rPr>
      </w:pPr>
    </w:p>
    <w:p w14:paraId="1CDC8D47" w14:textId="77777777" w:rsidR="001C27EE" w:rsidRPr="001C27EE" w:rsidRDefault="006C074D" w:rsidP="001C27EE">
      <w:pPr>
        <w:numPr>
          <w:ilvl w:val="0"/>
          <w:numId w:val="27"/>
        </w:numPr>
        <w:spacing w:after="113" w:line="260" w:lineRule="atLeast"/>
        <w:rPr>
          <w:rFonts w:ascii="Calibri" w:hAnsi="Calibri" w:cs="Arial"/>
          <w:b/>
          <w:sz w:val="22"/>
          <w:szCs w:val="22"/>
          <w:lang w:val="en-AU"/>
        </w:rPr>
      </w:pPr>
      <w:r>
        <w:rPr>
          <w:rFonts w:ascii="Calibri" w:hAnsi="Calibri" w:cs="Arial"/>
          <w:b/>
          <w:sz w:val="22"/>
          <w:szCs w:val="22"/>
          <w:lang w:val="en-AU"/>
        </w:rPr>
        <w:t>Management</w:t>
      </w:r>
      <w:r w:rsidR="002B561C">
        <w:rPr>
          <w:rFonts w:ascii="Calibri" w:hAnsi="Calibri" w:cs="Arial"/>
          <w:b/>
          <w:sz w:val="22"/>
          <w:szCs w:val="22"/>
          <w:lang w:val="en-AU"/>
        </w:rPr>
        <w:t>/Nominated Supervision/Responsible Person/Educators</w:t>
      </w:r>
      <w:r>
        <w:rPr>
          <w:rFonts w:ascii="Calibri" w:hAnsi="Calibri" w:cs="Arial"/>
          <w:b/>
          <w:sz w:val="22"/>
          <w:szCs w:val="22"/>
          <w:lang w:val="en-AU"/>
        </w:rPr>
        <w:t xml:space="preserve"> will:</w:t>
      </w:r>
    </w:p>
    <w:p w14:paraId="79ADEAFB" w14:textId="70BF1DC6" w:rsidR="006C074D" w:rsidRDefault="5E990D71" w:rsidP="002B561C">
      <w:pPr>
        <w:numPr>
          <w:ilvl w:val="0"/>
          <w:numId w:val="25"/>
        </w:numPr>
        <w:spacing w:after="113" w:line="260" w:lineRule="atLeast"/>
        <w:rPr>
          <w:rFonts w:ascii="Calibri" w:hAnsi="Calibri" w:cs="Arial"/>
          <w:sz w:val="22"/>
          <w:szCs w:val="22"/>
          <w:lang w:val="en-AU"/>
        </w:rPr>
      </w:pPr>
      <w:r w:rsidRPr="5E990D71">
        <w:rPr>
          <w:rFonts w:ascii="Calibri" w:hAnsi="Calibri" w:cs="Arial"/>
          <w:sz w:val="22"/>
          <w:szCs w:val="22"/>
          <w:lang w:val="en-AU"/>
        </w:rPr>
        <w:t xml:space="preserve">Be mindful and respectful of how activities and experiences may impact on the expectations, </w:t>
      </w:r>
      <w:proofErr w:type="gramStart"/>
      <w:r w:rsidRPr="5E990D71">
        <w:rPr>
          <w:rFonts w:ascii="Calibri" w:hAnsi="Calibri" w:cs="Arial"/>
          <w:sz w:val="22"/>
          <w:szCs w:val="22"/>
          <w:lang w:val="en-AU"/>
        </w:rPr>
        <w:t>interests</w:t>
      </w:r>
      <w:proofErr w:type="gramEnd"/>
      <w:r w:rsidRPr="5E990D71">
        <w:rPr>
          <w:rFonts w:ascii="Calibri" w:hAnsi="Calibri" w:cs="Arial"/>
          <w:sz w:val="22"/>
          <w:szCs w:val="22"/>
          <w:lang w:val="en-AU"/>
        </w:rPr>
        <w:t xml:space="preserve"> and behaviours of all genders</w:t>
      </w:r>
      <w:r w:rsidRPr="5E990D71">
        <w:rPr>
          <w:rFonts w:ascii="Calibri" w:hAnsi="Calibri" w:cs="Arial"/>
          <w:sz w:val="22"/>
          <w:szCs w:val="22"/>
          <w:lang w:val="en-AU"/>
        </w:rPr>
        <w:t>.</w:t>
      </w:r>
    </w:p>
    <w:p w14:paraId="7B19227E" w14:textId="42666008" w:rsidR="002B561C" w:rsidRDefault="5E990D71" w:rsidP="002B561C">
      <w:pPr>
        <w:numPr>
          <w:ilvl w:val="0"/>
          <w:numId w:val="25"/>
        </w:numPr>
        <w:spacing w:after="113" w:line="260" w:lineRule="atLeast"/>
        <w:rPr>
          <w:rFonts w:ascii="Calibri" w:hAnsi="Calibri" w:cs="Arial"/>
          <w:sz w:val="22"/>
          <w:szCs w:val="22"/>
          <w:lang w:val="en-AU"/>
        </w:rPr>
      </w:pPr>
      <w:r w:rsidRPr="5E990D71">
        <w:rPr>
          <w:rFonts w:ascii="Calibri" w:hAnsi="Calibri" w:cs="Arial"/>
          <w:sz w:val="22"/>
          <w:szCs w:val="22"/>
          <w:lang w:val="en-AU"/>
        </w:rPr>
        <w:t>Provide a stimulating learning environment in which all children will be encouraged to explore a full range of experiences and emotions</w:t>
      </w:r>
      <w:r w:rsidRPr="5E990D71">
        <w:rPr>
          <w:rFonts w:ascii="Calibri" w:hAnsi="Calibri" w:cs="Arial"/>
          <w:sz w:val="22"/>
          <w:szCs w:val="22"/>
          <w:lang w:val="en-AU"/>
        </w:rPr>
        <w:t>.</w:t>
      </w:r>
    </w:p>
    <w:p w14:paraId="72F66923" w14:textId="301851D8" w:rsidR="002B561C" w:rsidRDefault="5E990D71" w:rsidP="002B561C">
      <w:pPr>
        <w:numPr>
          <w:ilvl w:val="0"/>
          <w:numId w:val="25"/>
        </w:numPr>
        <w:spacing w:after="113" w:line="260" w:lineRule="atLeast"/>
        <w:rPr>
          <w:rFonts w:ascii="Calibri" w:hAnsi="Calibri" w:cs="Arial"/>
          <w:sz w:val="22"/>
          <w:szCs w:val="22"/>
          <w:lang w:val="en-AU"/>
        </w:rPr>
      </w:pPr>
      <w:r w:rsidRPr="5E990D71">
        <w:rPr>
          <w:rFonts w:ascii="Calibri" w:hAnsi="Calibri" w:cs="Arial"/>
          <w:sz w:val="22"/>
          <w:szCs w:val="22"/>
          <w:lang w:val="en-AU"/>
        </w:rPr>
        <w:t>A</w:t>
      </w:r>
      <w:r w:rsidRPr="5E990D71">
        <w:rPr>
          <w:rFonts w:ascii="Calibri" w:hAnsi="Calibri" w:cs="Arial"/>
          <w:sz w:val="22"/>
          <w:szCs w:val="22"/>
          <w:lang w:val="en-AU"/>
        </w:rPr>
        <w:t xml:space="preserve">dvocate </w:t>
      </w:r>
      <w:r w:rsidRPr="5E990D71">
        <w:rPr>
          <w:rFonts w:ascii="Calibri" w:hAnsi="Calibri" w:cs="Arial"/>
          <w:sz w:val="22"/>
          <w:szCs w:val="22"/>
          <w:lang w:val="en-AU"/>
        </w:rPr>
        <w:t>for</w:t>
      </w:r>
      <w:r w:rsidRPr="5E990D71">
        <w:rPr>
          <w:rFonts w:ascii="Calibri" w:hAnsi="Calibri" w:cs="Arial"/>
          <w:sz w:val="22"/>
          <w:szCs w:val="22"/>
          <w:lang w:val="en-AU"/>
        </w:rPr>
        <w:t xml:space="preserve"> children </w:t>
      </w:r>
      <w:r w:rsidRPr="5E990D71">
        <w:rPr>
          <w:rFonts w:ascii="Calibri" w:hAnsi="Calibri" w:cs="Arial"/>
          <w:sz w:val="22"/>
          <w:szCs w:val="22"/>
          <w:lang w:val="en-AU"/>
        </w:rPr>
        <w:t>when</w:t>
      </w:r>
      <w:r w:rsidRPr="5E990D71">
        <w:rPr>
          <w:rFonts w:ascii="Calibri" w:hAnsi="Calibri" w:cs="Arial"/>
          <w:sz w:val="22"/>
          <w:szCs w:val="22"/>
          <w:lang w:val="en-AU"/>
        </w:rPr>
        <w:t xml:space="preserve"> dealing with other adults who </w:t>
      </w:r>
      <w:r w:rsidRPr="5E990D71">
        <w:rPr>
          <w:rFonts w:ascii="Calibri" w:hAnsi="Calibri" w:cs="Arial"/>
          <w:sz w:val="22"/>
          <w:szCs w:val="22"/>
          <w:lang w:val="en-AU"/>
        </w:rPr>
        <w:t xml:space="preserve">display gender bias. </w:t>
      </w:r>
    </w:p>
    <w:p w14:paraId="01FEE876" w14:textId="632E5A70" w:rsidR="002B561C" w:rsidRDefault="5E990D71" w:rsidP="002B561C">
      <w:pPr>
        <w:numPr>
          <w:ilvl w:val="0"/>
          <w:numId w:val="25"/>
        </w:numPr>
        <w:spacing w:after="113" w:line="260" w:lineRule="atLeast"/>
        <w:rPr>
          <w:rFonts w:ascii="Calibri" w:hAnsi="Calibri" w:cs="Arial"/>
          <w:sz w:val="22"/>
          <w:szCs w:val="22"/>
          <w:lang w:val="en-AU"/>
        </w:rPr>
      </w:pPr>
      <w:r w:rsidRPr="5E990D71">
        <w:rPr>
          <w:rFonts w:ascii="Calibri" w:hAnsi="Calibri" w:cs="Arial"/>
          <w:sz w:val="22"/>
          <w:szCs w:val="22"/>
          <w:lang w:val="en-AU"/>
        </w:rPr>
        <w:t xml:space="preserve">Discourage the identification of </w:t>
      </w:r>
      <w:proofErr w:type="gramStart"/>
      <w:r w:rsidRPr="5E990D71">
        <w:rPr>
          <w:rFonts w:ascii="Calibri" w:hAnsi="Calibri" w:cs="Arial"/>
          <w:sz w:val="22"/>
          <w:szCs w:val="22"/>
          <w:lang w:val="en-AU"/>
        </w:rPr>
        <w:t>particular skills</w:t>
      </w:r>
      <w:proofErr w:type="gramEnd"/>
      <w:r w:rsidRPr="5E990D71">
        <w:rPr>
          <w:rFonts w:ascii="Calibri" w:hAnsi="Calibri" w:cs="Arial"/>
          <w:sz w:val="22"/>
          <w:szCs w:val="22"/>
          <w:lang w:val="en-AU"/>
        </w:rPr>
        <w:t>, behaviours and feelings as ‘boys’ and ‘girls’</w:t>
      </w:r>
      <w:r w:rsidR="00D55F33">
        <w:rPr>
          <w:rFonts w:ascii="Calibri" w:hAnsi="Calibri" w:cs="Arial"/>
          <w:sz w:val="22"/>
          <w:szCs w:val="22"/>
          <w:lang w:val="en-AU"/>
        </w:rPr>
        <w:t>,</w:t>
      </w:r>
    </w:p>
    <w:p w14:paraId="5834FC1F" w14:textId="30089A4B" w:rsidR="002B561C" w:rsidRDefault="61F830A8" w:rsidP="002B561C">
      <w:pPr>
        <w:numPr>
          <w:ilvl w:val="0"/>
          <w:numId w:val="25"/>
        </w:numPr>
        <w:spacing w:after="113" w:line="260" w:lineRule="atLeast"/>
        <w:rPr>
          <w:rFonts w:ascii="Calibri" w:hAnsi="Calibri" w:cs="Arial"/>
          <w:sz w:val="22"/>
          <w:szCs w:val="22"/>
          <w:lang w:val="en-AU"/>
        </w:rPr>
      </w:pPr>
      <w:r w:rsidRPr="61F830A8">
        <w:rPr>
          <w:rFonts w:ascii="Calibri" w:hAnsi="Calibri" w:cs="Arial"/>
          <w:sz w:val="22"/>
          <w:szCs w:val="22"/>
          <w:lang w:val="en-AU"/>
        </w:rPr>
        <w:t xml:space="preserve">Encourage children to </w:t>
      </w:r>
      <w:r w:rsidRPr="61F830A8">
        <w:rPr>
          <w:rFonts w:ascii="Calibri" w:hAnsi="Calibri" w:cs="Arial"/>
          <w:sz w:val="22"/>
          <w:szCs w:val="22"/>
          <w:lang w:val="en-AU"/>
        </w:rPr>
        <w:t>see</w:t>
      </w:r>
      <w:r w:rsidRPr="61F830A8">
        <w:rPr>
          <w:rFonts w:ascii="Calibri" w:hAnsi="Calibri" w:cs="Arial"/>
          <w:sz w:val="22"/>
          <w:szCs w:val="22"/>
          <w:lang w:val="en-AU"/>
        </w:rPr>
        <w:t xml:space="preserve"> both sexes as equal</w:t>
      </w:r>
      <w:r w:rsidRPr="61F830A8">
        <w:rPr>
          <w:rFonts w:ascii="Calibri" w:hAnsi="Calibri" w:cs="Arial"/>
          <w:sz w:val="22"/>
          <w:szCs w:val="22"/>
          <w:lang w:val="en-AU"/>
        </w:rPr>
        <w:t>.</w:t>
      </w:r>
    </w:p>
    <w:p w14:paraId="48A25036" w14:textId="79B9713B" w:rsidR="002B561C" w:rsidRDefault="5E990D71" w:rsidP="002B561C">
      <w:pPr>
        <w:numPr>
          <w:ilvl w:val="0"/>
          <w:numId w:val="25"/>
        </w:numPr>
        <w:spacing w:after="113" w:line="260" w:lineRule="atLeast"/>
        <w:rPr>
          <w:rFonts w:ascii="Calibri" w:hAnsi="Calibri" w:cs="Arial"/>
          <w:sz w:val="22"/>
          <w:szCs w:val="22"/>
          <w:lang w:val="en-AU"/>
        </w:rPr>
      </w:pPr>
      <w:r w:rsidRPr="5E990D71">
        <w:rPr>
          <w:rFonts w:ascii="Calibri" w:hAnsi="Calibri" w:cs="Arial"/>
          <w:sz w:val="22"/>
          <w:szCs w:val="22"/>
          <w:lang w:val="en-AU"/>
        </w:rPr>
        <w:t>Support the gender equity policy review by focusing on how children construct gender, the effects of gender in curriculum, teaching and learning</w:t>
      </w:r>
      <w:r w:rsidRPr="5E990D71">
        <w:rPr>
          <w:rFonts w:ascii="Calibri" w:hAnsi="Calibri" w:cs="Arial"/>
          <w:sz w:val="22"/>
          <w:szCs w:val="22"/>
          <w:lang w:val="en-AU"/>
        </w:rPr>
        <w:t>.</w:t>
      </w:r>
    </w:p>
    <w:p w14:paraId="153C06B6" w14:textId="279C5E07" w:rsidR="002B561C" w:rsidRDefault="5E990D71" w:rsidP="002B561C">
      <w:pPr>
        <w:numPr>
          <w:ilvl w:val="0"/>
          <w:numId w:val="25"/>
        </w:numPr>
        <w:spacing w:after="113" w:line="260" w:lineRule="atLeast"/>
        <w:rPr>
          <w:rFonts w:ascii="Calibri" w:hAnsi="Calibri" w:cs="Arial"/>
          <w:sz w:val="22"/>
          <w:szCs w:val="22"/>
          <w:lang w:val="en-AU"/>
        </w:rPr>
      </w:pPr>
      <w:r w:rsidRPr="5E990D71">
        <w:rPr>
          <w:rFonts w:ascii="Calibri" w:hAnsi="Calibri" w:cs="Arial"/>
          <w:sz w:val="22"/>
          <w:szCs w:val="22"/>
          <w:lang w:val="en-AU"/>
        </w:rPr>
        <w:t>Be responsive and ensure their actions are relevant to the specific and changing gender dynamics that emerge from the different ways in which</w:t>
      </w:r>
      <w:r w:rsidR="000C500F">
        <w:rPr>
          <w:rFonts w:ascii="Calibri" w:hAnsi="Calibri" w:cs="Arial"/>
          <w:sz w:val="22"/>
          <w:szCs w:val="22"/>
          <w:lang w:val="en-AU"/>
        </w:rPr>
        <w:t xml:space="preserve"> </w:t>
      </w:r>
      <w:r w:rsidRPr="5E990D71">
        <w:rPr>
          <w:rFonts w:ascii="Calibri" w:hAnsi="Calibri" w:cs="Arial"/>
          <w:sz w:val="22"/>
          <w:szCs w:val="22"/>
          <w:lang w:val="en-AU"/>
        </w:rPr>
        <w:t>children interpret gender</w:t>
      </w:r>
      <w:r w:rsidRPr="5E990D71">
        <w:rPr>
          <w:rFonts w:ascii="Calibri" w:hAnsi="Calibri" w:cs="Arial"/>
          <w:sz w:val="22"/>
          <w:szCs w:val="22"/>
          <w:lang w:val="en-AU"/>
        </w:rPr>
        <w:t>.</w:t>
      </w:r>
    </w:p>
    <w:p w14:paraId="47068BAF" w14:textId="44792889" w:rsidR="003D34E9" w:rsidRDefault="5E990D71" w:rsidP="002B561C">
      <w:pPr>
        <w:numPr>
          <w:ilvl w:val="0"/>
          <w:numId w:val="25"/>
        </w:numPr>
        <w:spacing w:after="113" w:line="260" w:lineRule="atLeast"/>
        <w:rPr>
          <w:rFonts w:ascii="Calibri" w:hAnsi="Calibri" w:cs="Arial"/>
          <w:sz w:val="22"/>
          <w:szCs w:val="22"/>
          <w:lang w:val="en-AU"/>
        </w:rPr>
      </w:pPr>
      <w:r w:rsidRPr="5E990D71">
        <w:rPr>
          <w:rFonts w:ascii="Calibri" w:hAnsi="Calibri" w:cs="Arial"/>
          <w:sz w:val="22"/>
          <w:szCs w:val="22"/>
          <w:lang w:val="en-AU"/>
        </w:rPr>
        <w:lastRenderedPageBreak/>
        <w:t xml:space="preserve">Monitor language, </w:t>
      </w:r>
      <w:proofErr w:type="gramStart"/>
      <w:r w:rsidRPr="5E990D71">
        <w:rPr>
          <w:rFonts w:ascii="Calibri" w:hAnsi="Calibri" w:cs="Arial"/>
          <w:sz w:val="22"/>
          <w:szCs w:val="22"/>
          <w:lang w:val="en-AU"/>
        </w:rPr>
        <w:t>attitudes</w:t>
      </w:r>
      <w:proofErr w:type="gramEnd"/>
      <w:r w:rsidRPr="5E990D71">
        <w:rPr>
          <w:rFonts w:ascii="Calibri" w:hAnsi="Calibri" w:cs="Arial"/>
          <w:sz w:val="22"/>
          <w:szCs w:val="22"/>
          <w:lang w:val="en-AU"/>
        </w:rPr>
        <w:t xml:space="preserve"> and assumptions with regards to gender and anti-bias of themselves, other educators and children</w:t>
      </w:r>
      <w:r w:rsidRPr="5E990D71">
        <w:rPr>
          <w:rFonts w:ascii="Calibri" w:hAnsi="Calibri" w:cs="Arial"/>
          <w:sz w:val="22"/>
          <w:szCs w:val="22"/>
          <w:lang w:val="en-AU"/>
        </w:rPr>
        <w:t>.</w:t>
      </w:r>
    </w:p>
    <w:p w14:paraId="17AAC08D" w14:textId="704C74EF" w:rsidR="003D34E9" w:rsidRDefault="61F830A8" w:rsidP="002B561C">
      <w:pPr>
        <w:numPr>
          <w:ilvl w:val="0"/>
          <w:numId w:val="25"/>
        </w:numPr>
        <w:spacing w:after="113" w:line="260" w:lineRule="atLeast"/>
        <w:rPr>
          <w:rFonts w:ascii="Calibri" w:hAnsi="Calibri" w:cs="Arial"/>
          <w:sz w:val="22"/>
          <w:szCs w:val="22"/>
          <w:lang w:val="en-AU"/>
        </w:rPr>
      </w:pPr>
      <w:r w:rsidRPr="61F830A8">
        <w:rPr>
          <w:rFonts w:ascii="Calibri" w:hAnsi="Calibri" w:cs="Arial"/>
          <w:sz w:val="22"/>
          <w:szCs w:val="22"/>
          <w:lang w:val="en-AU"/>
        </w:rPr>
        <w:t>Give positive messages about gender equity through their actions and words</w:t>
      </w:r>
      <w:r w:rsidRPr="61F830A8">
        <w:rPr>
          <w:rFonts w:ascii="Calibri" w:hAnsi="Calibri" w:cs="Arial"/>
          <w:sz w:val="22"/>
          <w:szCs w:val="22"/>
          <w:lang w:val="en-AU"/>
        </w:rPr>
        <w:t>,</w:t>
      </w:r>
      <w:r w:rsidRPr="61F830A8">
        <w:rPr>
          <w:rFonts w:ascii="Calibri" w:hAnsi="Calibri" w:cs="Arial"/>
          <w:sz w:val="22"/>
          <w:szCs w:val="22"/>
          <w:lang w:val="en-AU"/>
        </w:rPr>
        <w:t xml:space="preserve"> avoid giving messages that promote traditional gender roles and gender bias</w:t>
      </w:r>
      <w:r w:rsidRPr="61F830A8">
        <w:rPr>
          <w:rFonts w:ascii="Calibri" w:hAnsi="Calibri" w:cs="Arial"/>
          <w:sz w:val="22"/>
          <w:szCs w:val="22"/>
          <w:lang w:val="en-AU"/>
        </w:rPr>
        <w:t>.</w:t>
      </w:r>
    </w:p>
    <w:p w14:paraId="58B94822" w14:textId="402EE06C" w:rsidR="003D34E9" w:rsidRDefault="61F830A8" w:rsidP="002B561C">
      <w:pPr>
        <w:numPr>
          <w:ilvl w:val="0"/>
          <w:numId w:val="25"/>
        </w:numPr>
        <w:spacing w:after="113" w:line="260" w:lineRule="atLeast"/>
        <w:rPr>
          <w:rFonts w:ascii="Calibri" w:hAnsi="Calibri" w:cs="Arial"/>
          <w:sz w:val="22"/>
          <w:szCs w:val="22"/>
          <w:lang w:val="en-AU"/>
        </w:rPr>
      </w:pPr>
      <w:r w:rsidRPr="61F830A8">
        <w:rPr>
          <w:rFonts w:ascii="Calibri" w:hAnsi="Calibri" w:cs="Arial"/>
          <w:sz w:val="22"/>
          <w:szCs w:val="22"/>
          <w:lang w:val="en-AU"/>
        </w:rPr>
        <w:t xml:space="preserve">Critically reflect on their practices and environment </w:t>
      </w:r>
      <w:r w:rsidR="00BA20B9">
        <w:rPr>
          <w:rFonts w:ascii="Calibri" w:hAnsi="Calibri" w:cs="Arial"/>
          <w:sz w:val="22"/>
          <w:szCs w:val="22"/>
          <w:lang w:val="en-AU"/>
        </w:rPr>
        <w:t xml:space="preserve">in team meetings, </w:t>
      </w:r>
      <w:r w:rsidRPr="61F830A8">
        <w:rPr>
          <w:rFonts w:ascii="Calibri" w:hAnsi="Calibri" w:cs="Arial"/>
          <w:sz w:val="22"/>
          <w:szCs w:val="22"/>
          <w:lang w:val="en-AU"/>
        </w:rPr>
        <w:t>model a positive attitude towards gender equity</w:t>
      </w:r>
      <w:r w:rsidR="00BA20B9">
        <w:rPr>
          <w:rFonts w:ascii="Calibri" w:hAnsi="Calibri" w:cs="Arial"/>
          <w:sz w:val="22"/>
          <w:szCs w:val="22"/>
          <w:lang w:val="en-AU"/>
        </w:rPr>
        <w:t>.</w:t>
      </w:r>
    </w:p>
    <w:p w14:paraId="29CE4F96" w14:textId="32DDC2E7" w:rsidR="003D34E9" w:rsidRDefault="61F830A8" w:rsidP="002B561C">
      <w:pPr>
        <w:numPr>
          <w:ilvl w:val="0"/>
          <w:numId w:val="25"/>
        </w:numPr>
        <w:spacing w:after="113" w:line="260" w:lineRule="atLeast"/>
        <w:rPr>
          <w:rFonts w:ascii="Calibri" w:hAnsi="Calibri" w:cs="Arial"/>
          <w:sz w:val="22"/>
          <w:szCs w:val="22"/>
          <w:lang w:val="en-AU"/>
        </w:rPr>
      </w:pPr>
      <w:r w:rsidRPr="61F830A8">
        <w:rPr>
          <w:rFonts w:ascii="Calibri" w:hAnsi="Calibri" w:cs="Arial"/>
          <w:sz w:val="22"/>
          <w:szCs w:val="22"/>
          <w:lang w:val="en-AU"/>
        </w:rPr>
        <w:t>Encourage and support all children to participate in the full range of experiences and activities</w:t>
      </w:r>
      <w:r w:rsidRPr="61F830A8">
        <w:rPr>
          <w:rFonts w:ascii="Calibri" w:hAnsi="Calibri" w:cs="Arial"/>
          <w:sz w:val="22"/>
          <w:szCs w:val="22"/>
          <w:lang w:val="en-AU"/>
        </w:rPr>
        <w:t>.</w:t>
      </w:r>
    </w:p>
    <w:p w14:paraId="4229F490" w14:textId="34812CDB" w:rsidR="003D34E9" w:rsidRDefault="61F830A8" w:rsidP="002B561C">
      <w:pPr>
        <w:numPr>
          <w:ilvl w:val="0"/>
          <w:numId w:val="25"/>
        </w:numPr>
        <w:spacing w:after="113" w:line="260" w:lineRule="atLeast"/>
        <w:rPr>
          <w:rFonts w:ascii="Calibri" w:hAnsi="Calibri" w:cs="Arial"/>
          <w:sz w:val="22"/>
          <w:szCs w:val="22"/>
          <w:lang w:val="en-AU"/>
        </w:rPr>
      </w:pPr>
      <w:r w:rsidRPr="61F830A8">
        <w:rPr>
          <w:rFonts w:ascii="Calibri" w:hAnsi="Calibri" w:cs="Arial"/>
          <w:sz w:val="22"/>
          <w:szCs w:val="22"/>
          <w:lang w:val="en-AU"/>
        </w:rPr>
        <w:t>Encourage all children to express their emotions and to display affection and empathy</w:t>
      </w:r>
      <w:r w:rsidRPr="61F830A8">
        <w:rPr>
          <w:rFonts w:ascii="Calibri" w:hAnsi="Calibri" w:cs="Arial"/>
          <w:sz w:val="22"/>
          <w:szCs w:val="22"/>
          <w:lang w:val="en-AU"/>
        </w:rPr>
        <w:t>.</w:t>
      </w:r>
    </w:p>
    <w:p w14:paraId="62022A88" w14:textId="412C7C4B" w:rsidR="003D34E9" w:rsidRDefault="61F830A8" w:rsidP="002B561C">
      <w:pPr>
        <w:numPr>
          <w:ilvl w:val="0"/>
          <w:numId w:val="25"/>
        </w:numPr>
        <w:spacing w:after="113" w:line="260" w:lineRule="atLeast"/>
        <w:rPr>
          <w:rFonts w:ascii="Calibri" w:hAnsi="Calibri" w:cs="Arial"/>
          <w:sz w:val="22"/>
          <w:szCs w:val="22"/>
          <w:lang w:val="en-AU"/>
        </w:rPr>
      </w:pPr>
      <w:r w:rsidRPr="61F830A8">
        <w:rPr>
          <w:rFonts w:ascii="Calibri" w:hAnsi="Calibri" w:cs="Arial"/>
          <w:sz w:val="22"/>
          <w:szCs w:val="22"/>
          <w:lang w:val="en-AU"/>
        </w:rPr>
        <w:t xml:space="preserve">Regularly review resources, equipment, </w:t>
      </w:r>
      <w:proofErr w:type="gramStart"/>
      <w:r w:rsidRPr="61F830A8">
        <w:rPr>
          <w:rFonts w:ascii="Calibri" w:hAnsi="Calibri" w:cs="Arial"/>
          <w:sz w:val="22"/>
          <w:szCs w:val="22"/>
          <w:lang w:val="en-AU"/>
        </w:rPr>
        <w:t>materials</w:t>
      </w:r>
      <w:proofErr w:type="gramEnd"/>
      <w:r w:rsidRPr="61F830A8">
        <w:rPr>
          <w:rFonts w:ascii="Calibri" w:hAnsi="Calibri" w:cs="Arial"/>
          <w:sz w:val="22"/>
          <w:szCs w:val="22"/>
          <w:lang w:val="en-AU"/>
        </w:rPr>
        <w:t xml:space="preserve"> and images used with children to make sure they include gender diversity, non-stereotypical images and non-traditional family lifestyles such as single or same</w:t>
      </w:r>
      <w:r w:rsidRPr="61F830A8">
        <w:rPr>
          <w:rFonts w:ascii="Calibri" w:hAnsi="Calibri" w:cs="Arial"/>
          <w:sz w:val="22"/>
          <w:szCs w:val="22"/>
          <w:lang w:val="en-AU"/>
        </w:rPr>
        <w:t>-</w:t>
      </w:r>
      <w:r w:rsidRPr="61F830A8">
        <w:rPr>
          <w:rFonts w:ascii="Calibri" w:hAnsi="Calibri" w:cs="Arial"/>
          <w:sz w:val="22"/>
          <w:szCs w:val="22"/>
          <w:lang w:val="en-AU"/>
        </w:rPr>
        <w:t>sex parents</w:t>
      </w:r>
      <w:r w:rsidRPr="61F830A8">
        <w:rPr>
          <w:rFonts w:ascii="Calibri" w:hAnsi="Calibri" w:cs="Arial"/>
          <w:sz w:val="22"/>
          <w:szCs w:val="22"/>
          <w:lang w:val="en-AU"/>
        </w:rPr>
        <w:t>.</w:t>
      </w:r>
    </w:p>
    <w:p w14:paraId="47AFC690" w14:textId="117D42D3" w:rsidR="00D74435" w:rsidRPr="00682F47" w:rsidRDefault="61F830A8" w:rsidP="00682F47">
      <w:pPr>
        <w:numPr>
          <w:ilvl w:val="0"/>
          <w:numId w:val="25"/>
        </w:numPr>
        <w:spacing w:after="113" w:line="260" w:lineRule="atLeast"/>
        <w:rPr>
          <w:rFonts w:ascii="Calibri" w:hAnsi="Calibri" w:cs="Arial"/>
          <w:sz w:val="22"/>
          <w:szCs w:val="22"/>
          <w:lang w:val="en-AU"/>
        </w:rPr>
      </w:pPr>
      <w:r w:rsidRPr="61F830A8">
        <w:rPr>
          <w:rFonts w:ascii="Calibri" w:hAnsi="Calibri" w:cs="Arial"/>
          <w:sz w:val="22"/>
          <w:szCs w:val="22"/>
          <w:lang w:val="en-AU"/>
        </w:rPr>
        <w:t>Encourage children to explore their own gender identities and impact of gender relations to their play</w:t>
      </w:r>
      <w:r w:rsidRPr="61F830A8">
        <w:rPr>
          <w:rFonts w:ascii="Calibri" w:hAnsi="Calibri" w:cs="Arial"/>
          <w:sz w:val="22"/>
          <w:szCs w:val="22"/>
          <w:lang w:val="en-AU"/>
        </w:rPr>
        <w:t>.</w:t>
      </w:r>
    </w:p>
    <w:sectPr w:rsidR="00D74435" w:rsidRPr="00682F47" w:rsidSect="00045F63">
      <w:headerReference w:type="default" r:id="rId8"/>
      <w:footerReference w:type="even" r:id="rId9"/>
      <w:footerReference w:type="default" r:id="rId10"/>
      <w:pgSz w:w="12240" w:h="15840"/>
      <w:pgMar w:top="1638" w:right="1800" w:bottom="1276" w:left="1800"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3F3D8" w14:textId="77777777" w:rsidR="00B342C5" w:rsidRDefault="00B342C5">
      <w:r>
        <w:separator/>
      </w:r>
    </w:p>
  </w:endnote>
  <w:endnote w:type="continuationSeparator" w:id="0">
    <w:p w14:paraId="4E3F7122" w14:textId="77777777" w:rsidR="00B342C5" w:rsidRDefault="00B3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 VAG Rounded Thin">
    <w:altName w:val="Courier New"/>
    <w:charset w:val="00"/>
    <w:family w:val="auto"/>
    <w:pitch w:val="variable"/>
    <w:sig w:usb0="03000000" w:usb1="00000000" w:usb2="00000000" w:usb3="00000000" w:csb0="00000001" w:csb1="00000000"/>
  </w:font>
  <w:font w:name="Charcoal">
    <w:altName w:val="Cambria"/>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ngs">
    <w:altName w:val="w"/>
    <w:panose1 w:val="00000000000000000000"/>
    <w:charset w:val="80"/>
    <w:family w:val="roma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pple Casual">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3D34E9" w:rsidRDefault="003D34E9" w:rsidP="00517F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56B9AB" w14:textId="77777777" w:rsidR="003D34E9" w:rsidRDefault="003D34E9" w:rsidP="00517F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EC669" w14:textId="77777777" w:rsidR="003D34E9" w:rsidRPr="00033B2D" w:rsidRDefault="003D34E9" w:rsidP="00517F94">
    <w:pPr>
      <w:pStyle w:val="Footer"/>
      <w:ind w:right="360"/>
      <w:rPr>
        <w:rFonts w:ascii="Arial" w:hAnsi="Arial" w:cs="Arial"/>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81F9D" w14:textId="77777777" w:rsidR="00B342C5" w:rsidRDefault="00B342C5">
      <w:r>
        <w:separator/>
      </w:r>
    </w:p>
  </w:footnote>
  <w:footnote w:type="continuationSeparator" w:id="0">
    <w:p w14:paraId="126D96F2" w14:textId="77777777" w:rsidR="00B342C5" w:rsidRDefault="00B34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FACB6" w14:textId="77777777" w:rsidR="003D34E9" w:rsidRPr="00F45250" w:rsidRDefault="003A6B4A" w:rsidP="00D2103D">
    <w:pPr>
      <w:pStyle w:val="Header"/>
      <w:jc w:val="both"/>
      <w:rPr>
        <w:rFonts w:ascii="Apple Casual" w:hAnsi="Apple Casual"/>
        <w:sz w:val="16"/>
        <w:szCs w:val="18"/>
        <w:lang w:val="en-AU"/>
      </w:rPr>
    </w:pPr>
    <w:r>
      <w:rPr>
        <w:noProof/>
      </w:rPr>
      <w:drawing>
        <wp:anchor distT="0" distB="0" distL="114300" distR="114300" simplePos="0" relativeHeight="251657728" behindDoc="0" locked="0" layoutInCell="1" allowOverlap="1" wp14:anchorId="24AAA97D" wp14:editId="16331CA6">
          <wp:simplePos x="0" y="0"/>
          <wp:positionH relativeFrom="column">
            <wp:posOffset>5318125</wp:posOffset>
          </wp:positionH>
          <wp:positionV relativeFrom="paragraph">
            <wp:posOffset>-251460</wp:posOffset>
          </wp:positionV>
          <wp:extent cx="780415" cy="784860"/>
          <wp:effectExtent l="0" t="0" r="635" b="0"/>
          <wp:wrapThrough wrapText="bothSides">
            <wp:wrapPolygon edited="0">
              <wp:start x="0" y="0"/>
              <wp:lineTo x="0" y="20971"/>
              <wp:lineTo x="21090" y="20971"/>
              <wp:lineTo x="21090" y="0"/>
              <wp:lineTo x="0" y="0"/>
            </wp:wrapPolygon>
          </wp:wrapThrough>
          <wp:docPr id="4" name="Picture 4" descr="Description: 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3D34E9" w:rsidRPr="00F45250">
      <w:rPr>
        <w:rFonts w:ascii="Apple Casual" w:hAnsi="Apple Casual"/>
        <w:sz w:val="16"/>
        <w:szCs w:val="18"/>
        <w:lang w:val="en-AU"/>
      </w:rPr>
      <w:t>POLICIES &amp; PROCEDURES</w:t>
    </w:r>
  </w:p>
  <w:p w14:paraId="1AA55644" w14:textId="35EF3C2C" w:rsidR="003D34E9" w:rsidRPr="00D2103D" w:rsidRDefault="003D34E9" w:rsidP="00D2103D">
    <w:pPr>
      <w:pStyle w:val="Header"/>
      <w:rPr>
        <w:rFonts w:ascii="Calibri" w:hAnsi="Calibri" w:cs="Arial"/>
        <w:sz w:val="18"/>
        <w:szCs w:val="18"/>
        <w:lang w:val="en-AU"/>
      </w:rPr>
    </w:pPr>
    <w:r>
      <w:rPr>
        <w:rFonts w:ascii="Calibri" w:hAnsi="Calibri" w:cs="Arial"/>
        <w:sz w:val="18"/>
        <w:szCs w:val="18"/>
        <w:lang w:val="en-AU"/>
      </w:rPr>
      <w:t xml:space="preserve">Relationships </w:t>
    </w:r>
    <w:r w:rsidR="004452B7">
      <w:rPr>
        <w:rFonts w:ascii="Calibri" w:hAnsi="Calibri" w:cs="Arial"/>
        <w:sz w:val="18"/>
        <w:szCs w:val="18"/>
        <w:lang w:val="en-AU"/>
      </w:rPr>
      <w:t>w</w:t>
    </w:r>
    <w:r>
      <w:rPr>
        <w:rFonts w:ascii="Calibri" w:hAnsi="Calibri" w:cs="Arial"/>
        <w:sz w:val="18"/>
        <w:szCs w:val="18"/>
        <w:lang w:val="en-AU"/>
      </w:rPr>
      <w:t>ith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280D"/>
    <w:multiLevelType w:val="hybridMultilevel"/>
    <w:tmpl w:val="4E5C6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5548B3"/>
    <w:multiLevelType w:val="hybridMultilevel"/>
    <w:tmpl w:val="7D6C129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33F42"/>
    <w:multiLevelType w:val="hybridMultilevel"/>
    <w:tmpl w:val="1D247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72B85"/>
    <w:multiLevelType w:val="hybridMultilevel"/>
    <w:tmpl w:val="A2923CF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844453"/>
    <w:multiLevelType w:val="hybridMultilevel"/>
    <w:tmpl w:val="ABEC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4C5"/>
    <w:multiLevelType w:val="hybridMultilevel"/>
    <w:tmpl w:val="E09083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03"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328F9"/>
    <w:multiLevelType w:val="hybridMultilevel"/>
    <w:tmpl w:val="72AED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B1317E"/>
    <w:multiLevelType w:val="hybridMultilevel"/>
    <w:tmpl w:val="B58E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510AF"/>
    <w:multiLevelType w:val="hybridMultilevel"/>
    <w:tmpl w:val="8F0E7D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F4727F"/>
    <w:multiLevelType w:val="hybridMultilevel"/>
    <w:tmpl w:val="62CA4AE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0" w15:restartNumberingAfterBreak="0">
    <w:nsid w:val="21904CBD"/>
    <w:multiLevelType w:val="hybridMultilevel"/>
    <w:tmpl w:val="71FA28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8C4293"/>
    <w:multiLevelType w:val="hybridMultilevel"/>
    <w:tmpl w:val="8840A26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B689B"/>
    <w:multiLevelType w:val="hybridMultilevel"/>
    <w:tmpl w:val="BD3C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E6B1A"/>
    <w:multiLevelType w:val="hybridMultilevel"/>
    <w:tmpl w:val="38A6A2A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D634F"/>
    <w:multiLevelType w:val="hybridMultilevel"/>
    <w:tmpl w:val="13CE4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8B3C71"/>
    <w:multiLevelType w:val="hybridMultilevel"/>
    <w:tmpl w:val="D168173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45018"/>
    <w:multiLevelType w:val="hybridMultilevel"/>
    <w:tmpl w:val="AE5CB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737EA3"/>
    <w:multiLevelType w:val="hybridMultilevel"/>
    <w:tmpl w:val="216699A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5A53FB"/>
    <w:multiLevelType w:val="hybridMultilevel"/>
    <w:tmpl w:val="2BEC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216F3"/>
    <w:multiLevelType w:val="hybridMultilevel"/>
    <w:tmpl w:val="59627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094AE2"/>
    <w:multiLevelType w:val="hybridMultilevel"/>
    <w:tmpl w:val="F2E4D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45267C"/>
    <w:multiLevelType w:val="hybridMultilevel"/>
    <w:tmpl w:val="248A47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2" w15:restartNumberingAfterBreak="0">
    <w:nsid w:val="49796C49"/>
    <w:multiLevelType w:val="hybridMultilevel"/>
    <w:tmpl w:val="F38A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33E96"/>
    <w:multiLevelType w:val="hybridMultilevel"/>
    <w:tmpl w:val="752C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94825"/>
    <w:multiLevelType w:val="hybridMultilevel"/>
    <w:tmpl w:val="7C369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443DDB"/>
    <w:multiLevelType w:val="hybridMultilevel"/>
    <w:tmpl w:val="5316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AD4FFD"/>
    <w:multiLevelType w:val="hybridMultilevel"/>
    <w:tmpl w:val="95ECE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4362C7"/>
    <w:multiLevelType w:val="hybridMultilevel"/>
    <w:tmpl w:val="80E07CF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C43A78"/>
    <w:multiLevelType w:val="hybridMultilevel"/>
    <w:tmpl w:val="50321F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C514624"/>
    <w:multiLevelType w:val="hybridMultilevel"/>
    <w:tmpl w:val="BB24D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FD7955"/>
    <w:multiLevelType w:val="hybridMultilevel"/>
    <w:tmpl w:val="198A29B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C3164C"/>
    <w:multiLevelType w:val="hybridMultilevel"/>
    <w:tmpl w:val="3CF87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684997"/>
    <w:multiLevelType w:val="hybridMultilevel"/>
    <w:tmpl w:val="DF848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8B04A2"/>
    <w:multiLevelType w:val="hybridMultilevel"/>
    <w:tmpl w:val="B4F82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041DED"/>
    <w:multiLevelType w:val="hybridMultilevel"/>
    <w:tmpl w:val="18B8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7E7A41"/>
    <w:multiLevelType w:val="hybridMultilevel"/>
    <w:tmpl w:val="A8AC62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B3224"/>
    <w:multiLevelType w:val="hybridMultilevel"/>
    <w:tmpl w:val="76007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9726E8"/>
    <w:multiLevelType w:val="hybridMultilevel"/>
    <w:tmpl w:val="AFBA1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C2A32D2"/>
    <w:multiLevelType w:val="hybridMultilevel"/>
    <w:tmpl w:val="D7EE7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114463"/>
    <w:multiLevelType w:val="hybridMultilevel"/>
    <w:tmpl w:val="8880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B80715"/>
    <w:multiLevelType w:val="hybridMultilevel"/>
    <w:tmpl w:val="9D46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E24DA6"/>
    <w:multiLevelType w:val="hybridMultilevel"/>
    <w:tmpl w:val="585A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13"/>
  </w:num>
  <w:num w:numId="4">
    <w:abstractNumId w:val="21"/>
  </w:num>
  <w:num w:numId="5">
    <w:abstractNumId w:val="5"/>
  </w:num>
  <w:num w:numId="6">
    <w:abstractNumId w:val="36"/>
  </w:num>
  <w:num w:numId="7">
    <w:abstractNumId w:val="33"/>
  </w:num>
  <w:num w:numId="8">
    <w:abstractNumId w:val="12"/>
  </w:num>
  <w:num w:numId="9">
    <w:abstractNumId w:val="2"/>
  </w:num>
  <w:num w:numId="10">
    <w:abstractNumId w:val="37"/>
  </w:num>
  <w:num w:numId="11">
    <w:abstractNumId w:val="4"/>
  </w:num>
  <w:num w:numId="12">
    <w:abstractNumId w:val="35"/>
  </w:num>
  <w:num w:numId="13">
    <w:abstractNumId w:val="7"/>
  </w:num>
  <w:num w:numId="14">
    <w:abstractNumId w:val="34"/>
  </w:num>
  <w:num w:numId="15">
    <w:abstractNumId w:val="25"/>
  </w:num>
  <w:num w:numId="16">
    <w:abstractNumId w:val="40"/>
  </w:num>
  <w:num w:numId="17">
    <w:abstractNumId w:val="23"/>
  </w:num>
  <w:num w:numId="18">
    <w:abstractNumId w:val="38"/>
  </w:num>
  <w:num w:numId="19">
    <w:abstractNumId w:val="26"/>
  </w:num>
  <w:num w:numId="20">
    <w:abstractNumId w:val="22"/>
  </w:num>
  <w:num w:numId="21">
    <w:abstractNumId w:val="29"/>
  </w:num>
  <w:num w:numId="22">
    <w:abstractNumId w:val="32"/>
  </w:num>
  <w:num w:numId="23">
    <w:abstractNumId w:val="41"/>
  </w:num>
  <w:num w:numId="24">
    <w:abstractNumId w:val="27"/>
  </w:num>
  <w:num w:numId="25">
    <w:abstractNumId w:val="31"/>
  </w:num>
  <w:num w:numId="26">
    <w:abstractNumId w:val="15"/>
  </w:num>
  <w:num w:numId="27">
    <w:abstractNumId w:val="28"/>
  </w:num>
  <w:num w:numId="28">
    <w:abstractNumId w:val="30"/>
  </w:num>
  <w:num w:numId="29">
    <w:abstractNumId w:val="16"/>
  </w:num>
  <w:num w:numId="30">
    <w:abstractNumId w:val="11"/>
  </w:num>
  <w:num w:numId="31">
    <w:abstractNumId w:val="17"/>
  </w:num>
  <w:num w:numId="32">
    <w:abstractNumId w:val="8"/>
  </w:num>
  <w:num w:numId="33">
    <w:abstractNumId w:val="6"/>
  </w:num>
  <w:num w:numId="34">
    <w:abstractNumId w:val="18"/>
  </w:num>
  <w:num w:numId="35">
    <w:abstractNumId w:val="10"/>
  </w:num>
  <w:num w:numId="36">
    <w:abstractNumId w:val="3"/>
  </w:num>
  <w:num w:numId="37">
    <w:abstractNumId w:val="39"/>
  </w:num>
  <w:num w:numId="38">
    <w:abstractNumId w:val="1"/>
  </w:num>
  <w:num w:numId="39">
    <w:abstractNumId w:val="14"/>
  </w:num>
  <w:num w:numId="40">
    <w:abstractNumId w:val="19"/>
  </w:num>
  <w:num w:numId="41">
    <w:abstractNumId w:val="20"/>
  </w:num>
  <w:num w:numId="4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E"/>
    <w:rsid w:val="0001126D"/>
    <w:rsid w:val="00013EEE"/>
    <w:rsid w:val="00045F63"/>
    <w:rsid w:val="00060B6A"/>
    <w:rsid w:val="000C500F"/>
    <w:rsid w:val="000E2BCC"/>
    <w:rsid w:val="00111C19"/>
    <w:rsid w:val="00121482"/>
    <w:rsid w:val="00124FB9"/>
    <w:rsid w:val="001645E2"/>
    <w:rsid w:val="00195175"/>
    <w:rsid w:val="001C27EE"/>
    <w:rsid w:val="00256A36"/>
    <w:rsid w:val="002B0494"/>
    <w:rsid w:val="002B350D"/>
    <w:rsid w:val="002B561C"/>
    <w:rsid w:val="002E614D"/>
    <w:rsid w:val="00321C1D"/>
    <w:rsid w:val="00325C9A"/>
    <w:rsid w:val="00336A18"/>
    <w:rsid w:val="00397A90"/>
    <w:rsid w:val="003A6B4A"/>
    <w:rsid w:val="003A78EB"/>
    <w:rsid w:val="003B02DE"/>
    <w:rsid w:val="003D34E9"/>
    <w:rsid w:val="003F4B68"/>
    <w:rsid w:val="00427A0F"/>
    <w:rsid w:val="00444D11"/>
    <w:rsid w:val="004452B7"/>
    <w:rsid w:val="004D446E"/>
    <w:rsid w:val="004F20DF"/>
    <w:rsid w:val="00504B44"/>
    <w:rsid w:val="00517F94"/>
    <w:rsid w:val="005362E7"/>
    <w:rsid w:val="005529A7"/>
    <w:rsid w:val="00571A83"/>
    <w:rsid w:val="005737C2"/>
    <w:rsid w:val="005F3E80"/>
    <w:rsid w:val="00614A44"/>
    <w:rsid w:val="00626AF1"/>
    <w:rsid w:val="00655E85"/>
    <w:rsid w:val="006657FB"/>
    <w:rsid w:val="00682F47"/>
    <w:rsid w:val="006A2BC5"/>
    <w:rsid w:val="006B176D"/>
    <w:rsid w:val="006C074D"/>
    <w:rsid w:val="006D5040"/>
    <w:rsid w:val="007D2044"/>
    <w:rsid w:val="008129DE"/>
    <w:rsid w:val="00814948"/>
    <w:rsid w:val="008366B1"/>
    <w:rsid w:val="00847094"/>
    <w:rsid w:val="00852ED3"/>
    <w:rsid w:val="00856BD5"/>
    <w:rsid w:val="008B59B9"/>
    <w:rsid w:val="00911843"/>
    <w:rsid w:val="009B67CD"/>
    <w:rsid w:val="00A81ADB"/>
    <w:rsid w:val="00AD072D"/>
    <w:rsid w:val="00B012F7"/>
    <w:rsid w:val="00B21FBD"/>
    <w:rsid w:val="00B342C5"/>
    <w:rsid w:val="00B5495D"/>
    <w:rsid w:val="00BA20B9"/>
    <w:rsid w:val="00BA6107"/>
    <w:rsid w:val="00BB247F"/>
    <w:rsid w:val="00BD5E87"/>
    <w:rsid w:val="00C06F07"/>
    <w:rsid w:val="00C25F3A"/>
    <w:rsid w:val="00C343C5"/>
    <w:rsid w:val="00C356FB"/>
    <w:rsid w:val="00C62D1C"/>
    <w:rsid w:val="00CB70AD"/>
    <w:rsid w:val="00CE672A"/>
    <w:rsid w:val="00D16535"/>
    <w:rsid w:val="00D2103D"/>
    <w:rsid w:val="00D313A5"/>
    <w:rsid w:val="00D4028C"/>
    <w:rsid w:val="00D55F33"/>
    <w:rsid w:val="00D74435"/>
    <w:rsid w:val="00D811F3"/>
    <w:rsid w:val="00E11151"/>
    <w:rsid w:val="00E1442D"/>
    <w:rsid w:val="00E46EC6"/>
    <w:rsid w:val="00E5424D"/>
    <w:rsid w:val="00E566DD"/>
    <w:rsid w:val="00E86551"/>
    <w:rsid w:val="00E87AE3"/>
    <w:rsid w:val="00EF2972"/>
    <w:rsid w:val="00EF3C77"/>
    <w:rsid w:val="00EF47AF"/>
    <w:rsid w:val="00F207CF"/>
    <w:rsid w:val="00F94E47"/>
    <w:rsid w:val="00FC621A"/>
    <w:rsid w:val="5E990D71"/>
    <w:rsid w:val="61F830A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97FC35"/>
  <w14:defaultImageDpi w14:val="300"/>
  <w15:chartTrackingRefBased/>
  <w15:docId w15:val="{1A6A80F0-3199-4CFF-AC45-72C3C0FB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9D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9DE"/>
    <w:pPr>
      <w:tabs>
        <w:tab w:val="center" w:pos="4320"/>
        <w:tab w:val="right" w:pos="8640"/>
      </w:tabs>
    </w:pPr>
  </w:style>
  <w:style w:type="paragraph" w:styleId="Footer">
    <w:name w:val="footer"/>
    <w:basedOn w:val="Normal"/>
    <w:rsid w:val="008129DE"/>
    <w:pPr>
      <w:tabs>
        <w:tab w:val="center" w:pos="4320"/>
        <w:tab w:val="right" w:pos="8640"/>
      </w:tabs>
    </w:pPr>
  </w:style>
  <w:style w:type="character" w:styleId="PageNumber">
    <w:name w:val="page number"/>
    <w:basedOn w:val="DefaultParagraphFont"/>
    <w:rsid w:val="008129DE"/>
  </w:style>
  <w:style w:type="paragraph" w:styleId="BalloonText">
    <w:name w:val="Balloon Text"/>
    <w:basedOn w:val="Normal"/>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customStyle="1" w:styleId="ColorfulList-Accent11">
    <w:name w:val="Colorful List - Accent 11"/>
    <w:basedOn w:val="Normal"/>
    <w:uiPriority w:val="34"/>
    <w:qFormat/>
    <w:rsid w:val="000422A4"/>
    <w:pPr>
      <w:ind w:left="720"/>
      <w:contextualSpacing/>
    </w:pPr>
    <w:rPr>
      <w:rFonts w:ascii="Cambria" w:hAnsi="Cambria"/>
      <w:lang w:val="en-AU"/>
    </w:rPr>
  </w:style>
  <w:style w:type="character" w:styleId="CommentReference">
    <w:name w:val="annotation reference"/>
    <w:rsid w:val="00321C1D"/>
    <w:rPr>
      <w:sz w:val="18"/>
      <w:szCs w:val="18"/>
    </w:rPr>
  </w:style>
  <w:style w:type="paragraph" w:styleId="CommentText">
    <w:name w:val="annotation text"/>
    <w:basedOn w:val="Normal"/>
    <w:link w:val="CommentTextChar"/>
    <w:rsid w:val="00321C1D"/>
  </w:style>
  <w:style w:type="character" w:customStyle="1" w:styleId="CommentTextChar">
    <w:name w:val="Comment Text Char"/>
    <w:link w:val="CommentText"/>
    <w:rsid w:val="00321C1D"/>
    <w:rPr>
      <w:sz w:val="24"/>
      <w:szCs w:val="24"/>
      <w:lang w:val="en-US"/>
    </w:rPr>
  </w:style>
  <w:style w:type="paragraph" w:styleId="CommentSubject">
    <w:name w:val="annotation subject"/>
    <w:basedOn w:val="CommentText"/>
    <w:next w:val="CommentText"/>
    <w:link w:val="CommentSubjectChar"/>
    <w:rsid w:val="00321C1D"/>
    <w:rPr>
      <w:b/>
      <w:bCs/>
      <w:sz w:val="20"/>
      <w:szCs w:val="20"/>
    </w:rPr>
  </w:style>
  <w:style w:type="character" w:customStyle="1" w:styleId="CommentSubjectChar">
    <w:name w:val="Comment Subject Char"/>
    <w:link w:val="CommentSubject"/>
    <w:rsid w:val="00321C1D"/>
    <w:rPr>
      <w:b/>
      <w:bCs/>
      <w:sz w:val="24"/>
      <w:szCs w:val="24"/>
      <w:lang w:val="en-US"/>
    </w:rPr>
  </w:style>
  <w:style w:type="paragraph" w:customStyle="1" w:styleId="ppindenttext">
    <w:name w:val="pp indent text"/>
    <w:rsid w:val="00B21FBD"/>
    <w:pPr>
      <w:spacing w:after="113" w:line="260" w:lineRule="atLeast"/>
      <w:ind w:left="283"/>
    </w:pPr>
    <w:rPr>
      <w:rFonts w:ascii="T VAG Rounded Thin" w:hAnsi="T VAG Rounded Thin"/>
      <w:noProof/>
      <w:sz w:val="22"/>
      <w:lang w:val="en-AU" w:eastAsia="en-US"/>
    </w:rPr>
  </w:style>
  <w:style w:type="paragraph" w:customStyle="1" w:styleId="pptext">
    <w:name w:val="pp text"/>
    <w:rsid w:val="00B21FBD"/>
    <w:pPr>
      <w:spacing w:line="320" w:lineRule="atLeast"/>
    </w:pPr>
    <w:rPr>
      <w:rFonts w:ascii="T VAG Rounded Thin" w:hAnsi="T VAG Rounded Thin"/>
      <w:noProof/>
      <w:sz w:val="24"/>
      <w:lang w:val="en-AU" w:eastAsia="en-US"/>
    </w:rPr>
  </w:style>
  <w:style w:type="paragraph" w:customStyle="1" w:styleId="pphead2">
    <w:name w:val="pp head 2"/>
    <w:rsid w:val="00B21FBD"/>
    <w:pPr>
      <w:spacing w:before="170" w:after="57"/>
    </w:pPr>
    <w:rPr>
      <w:rFonts w:ascii="Charcoal" w:hAnsi="Charcoal"/>
      <w:noProof/>
      <w:sz w:val="28"/>
      <w:lang w:val="en-AU" w:eastAsia="en-US"/>
    </w:rPr>
  </w:style>
  <w:style w:type="character" w:customStyle="1" w:styleId="HeaderChar">
    <w:name w:val="Header Char"/>
    <w:link w:val="Header"/>
    <w:rsid w:val="00D2103D"/>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C5548-878E-4D46-9235-ABE58F36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subject/>
  <dc:creator>Maroubra Junction Care Centre</dc:creator>
  <cp:keywords/>
  <dc:description/>
  <cp:lastModifiedBy>Maroubra Junction Care Centre</cp:lastModifiedBy>
  <cp:revision>18</cp:revision>
  <cp:lastPrinted>2010-06-23T22:05:00Z</cp:lastPrinted>
  <dcterms:created xsi:type="dcterms:W3CDTF">2020-05-20T10:51:00Z</dcterms:created>
  <dcterms:modified xsi:type="dcterms:W3CDTF">2020-11-04T00:51:00Z</dcterms:modified>
</cp:coreProperties>
</file>